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SUSPENSÃO CONDICIONAL DO PROCESSO</w:t>
      </w:r>
    </w:p>
    <w:p>
      <w:r>
        <w:rPr>
          <w:i/>
          <w:iCs/>
          <w:color w:val="666666"/>
        </w:rPr>
        <w:t xml:space="preserve">OFERECIMENTO DA PROPOSTA</w:t>
      </w:r>
    </w:p>
    <w:p/>
    <w:p>
      <w:r>
        <w:rPr>
          <w:b/>
          <w:bCs/>
        </w:rPr>
        <w:t xml:space="preserve">Tribunal: </w:t>
      </w:r>
      <w:r>
        <w:t xml:space="preserve">TJSC</w:t>
      </w:r>
    </w:p>
    <w:p/>
    <w:p>
      <w:r>
        <w:t xml:space="preserve">AGENTE QUE ENTRA EM CASA ALHEIA PARA SE REFUGIAR DE PERSEGUIÇÃO APÓS PRATICAR ASSALTO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"Não se configura o delito do art. 150 do CP se o agente, seguidamente ao cometimento de outra infração penal, vem ingressar em moradia alheia para homiziar-se de perseguidores" (TACrimSP - AC - rel. Gonçalves Nogueira - RT 637/283). "Inexiste dolo específico na conduta de quem, fugindo da polícia, entra ou permanece em casa alheia, contra a vontade expressa ou tácita de quem de direito" (TJSC - AC - rel. Fortes Barbosa - RJTJSP 142/357). Ac. de 31-03-1999 Revista dos Tribunais, Outubro de 1999 - Vol. 768 - Pág. 674 EMFOR 622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configura o delito de violação de domicílio a ação do agente que empreendendo fuga, após praticar assalto à mão armada, entra em casa alheia para se refugiar.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2026-10-26T02:20:23.684Z</dcterms:created>
  <dcterms:modified xsi:type="dcterms:W3CDTF">2026-10-26T02:20:23.684Z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