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ADVOGADO SUSPENSO PELA OAB</w:t>
      </w:r>
    </w:p>
    <w:p/>
    <w:p>
      <w:r>
        <w:rPr>
          <w:b/>
          <w:bCs/>
        </w:rPr>
        <w:t xml:space="preserve">Recurso: </w:t>
      </w:r>
      <w:r>
        <w:t xml:space="preserve">habeas corpus ..</w:t>
      </w:r>
    </w:p>
    <w:p/>
    <w:p>
      <w:r>
        <w:t xml:space="preserve">PETIÇÃO INICIAL — REQUERIMENTO QUE NÃO CONSTITUI DOCUMENTO PARA FINS PENAIS - TRANCAMENTO DA AÇÃO PENAL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à petição referida, não pode ela ser considerada como documento para os fins do artigo 299 do Código Penal, já que para tanto só se considera como documento "o escrito devido a um autor determinado, contendo exposição de fatos ou declaração de vontade, dotado de significação ou relevância jurídica" (HELENO FRAGOSO, "Lições de Direito Penal", vol. IV/988, 1965). - Nesse sentido também a jurisprudência de nossos Tribunais: "A simples petição do causídico, ainda que contenha declaração falsa, não é considerada documento para os fins do artigo 299 (RTRF, Quinta Região, vol. 15/207); Simples requerimento ou petição não é considerado documento para fins penais, ainda que contenha informação inverídica" (RT, vol. 571/393). - Manifesta, assim, a falta de justa causa para a instauração da ação penal contra os pacientes, já que atípica a conduta de ambos. - Isto posto, concede-se o presente habeas corpus ... Ac. de 08-07-1998 LEX - JTJ - Vol. 214 - Pág. 299 EMFOR 625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requerimento feito na petição inicial, é ato meramente postulante, devendo portanto ser trancada a ação penal. (Ementa do Ementário Forense)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2026-10-26T04:21:13.458Z</dcterms:created>
  <dcterms:modified xsi:type="dcterms:W3CDTF">2026-10-26T04:21:13.458Z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