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Julgado em: </w:t>
      </w:r>
      <w:r>
        <w:t xml:space="preserve">01/08/1984</w:t>
      </w:r>
    </w:p>
    <w:p/>
    <w:p>
      <w:r>
        <w:t xml:space="preserve">1995, vol. 713, pág. 344
EMFOR 568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que se colhe dos autos, o réu dirigia um automóvel..., quando avistou em outro veículo sua ex-noiva... que viajava ao lado do pai... - Deles se aproximando, o acusado, de maneira temerária, tentou fazer com que o automóvel... fosse lançado para fora da pista, revoltado que se encontrava com o rompimento do noivado... expondo-os, dessa forma, a perigo direto e iminente no que diz respeito à segurança. - ................................................................................................................................... - Reparo, porém, há de ser feito à sentença no que diz respeito à pena corporal imposta em razão do dolo intenso e espírito de vingança, o que caracterizaria, no entender do culto Magistrado a agravante genérica do motivo torpe, prevista no art. 44, II, "a", do Código Penal. - É que, salvo a reincidência (art. 44. I, do CP, as demais agravantes só incidem nos crimes dolosos, não se aplicando, portanto, às contravenções penais (art. 7º do Decreto-lei 3.688/41). Nesse sentido a jurisprudência ("RT"541/344), com apoio da doutrina (cf. DAMASIO E. DE JESUS, "Direito Penal"- Parte Geral, p. 538, ed 1982). - Deram provimento parcial ao recurso para substituir a sanção corporal pela pecuniária, estimada em Cr$ 600,00. Julgado em 02-08-1984 Revista dos Tribunais, Dezembro, 1984 - Vol. 590 - Pág. 353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Salvo a reincidência, as demais agravantes do art. 44 do Código Penal só têm incidência nas hipóteses de crimes dolosos, não se aplicando, portanto, às contravenções penais.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2026-10-26T04:40:00.322Z</dcterms:created>
  <dcterms:modified xsi:type="dcterms:W3CDTF">2026-10-26T04:40:00.322Z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