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23/10/1984</w:t>
      </w:r>
    </w:p>
    <w:p/>
    <w:p>
      <w:r>
        <w:t xml:space="preserve">FLUÊNCIA — QUANDO SE INICIA PARA O RÉU SOB O BENEFÍCIO DO SURSIS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ainda a lavra do eminente Des. MARCÍLIO MEDEIROS: "Sentença condenatória - Réu a quem foi concedido o benefício do "sursis" - prazo de apelação. "Encontrando-se o réu em liberdade e no gozo do benefício do "sursis", o prazo para recurso de defesa tem início com a primeira intimação feita, seja a do réu ou a do defensor constituído, indiferentemente. "(JC 40/430). - Assim, não se conheceu do recurso por intempestivo. Julgado em 24-10-1984 Jurisprudência Catarinense, 4º trimestre 1984 -Vol. 46 - Pág. 403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 réu sob o benefício do "sursis", a intimação da sentença condenatória pode ser feita a ele ou ao seu defensor, indiferentemente, fluindo o prazo recursal a partir da data de quem em primeiro lugar tenha tomado ciência.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2026-10-26T02:24:39.751Z</dcterms:created>
  <dcterms:modified xsi:type="dcterms:W3CDTF">2026-10-26T02:24:39.751Z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