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23/10/1984</w:t>
      </w:r>
    </w:p>
    <w:p/>
    <w:p>
      <w:r>
        <w:t xml:space="preserve">FLUÊNCIA — QUANDO SE INICIA PARA O RÉU SOB O BENEFÍCIO DO SURSIS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ainda a lavra do eminente Des. MARCÍLIO MEDEIROS: "Sentença condenatória - Réu a quem foi concedido o benefício do "sursis" - prazo de apelação. "Encontrando-se o réu em liberdade e no gozo do benefício do "sursis", o prazo para recurso de defesa tem início com a primeira intimação feita, seja a do réu ou a do defensor constituído, indiferentemente. "(JC 40/430). - Assim, não se conheceu do recurso por intempestivo. Julgado em 24-10-1984 Jurisprudência Catarinense, 4º trimestre 1984 -Vol. 46 - Pág. 403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 réu sob o benefício do "sursis", a intimação da sentença condenatória pode ser feita a ele ou ao seu defensor, indiferentemente, fluindo o prazo recursal a partir da data de quem em primeiro lugar tenha tomado ciência.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2026-07-27T23:20:09.304Z</dcterms:created>
  <dcterms:modified xsi:type="dcterms:W3CDTF">2026-07-27T23:20:09.304Z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