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Julgado em: </w:t>
      </w:r>
      <w:r>
        <w:t xml:space="preserve">03/09/1984</w:t>
      </w:r>
    </w:p>
    <w:p/>
    <w:p>
      <w:r>
        <w:t xml:space="preserve">DECLARAÇÕES DO OFENDIDO — QUANDO JUSTIFICAM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compulsando-se os autos, verifica-se que encontram-se presentes nos autos todos os elementos constitutivos do tipo definido do art. 214 do Código Penal, ou seja, atentado violento ao pudor - principalmente ao libidinoso mediante violência, como se depreende do conjunto probatório. O ato libidinoso que caracteriza o crime do art. 214, deve ser inequívoco, e praticado com ou sobre tato físico. - Conclui-se ainda, que o delito de atentado violento ao pudor, restou devidamente demonstrado. Quanto às lesões corporais leves ocorridas nos parece absorvida pelo crime principal, porque integrante do tipo penal violado. O Egrégio Tribunal de Justiça de São Paulo, ao julgar a apelação criminal nº 134.118, assim decidiu:" Lesão corporal. A lesão corporal de natureza leve, quando praticada contra vítima de atentado violento ao pudor, é elemento de violência do crime e não infração autônoma." (TJSP, RT 512/376). Julgado em 04-09-1984 Jurisprudência Catarinense, 4º Trimestre 1984, Vol. 46 - Pág. 398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crime contra os costumes, as declarações do ofendido justificam a condenação, especialmente quando os demais elementos de prova a vítima coagida, sendo, portanto, necessário o con-conspiram contra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2026-10-26T02:22:40.939Z</dcterms:created>
  <dcterms:modified xsi:type="dcterms:W3CDTF">2026-10-26T02:22:40.939Z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