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12/04/1982</w:t>
      </w:r>
    </w:p>
    <w:p/>
    <w:p>
      <w:r>
        <w:t xml:space="preserve">CRIME PERMANENTE — POSSIBILIDADE DE FLAGRANTE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Ora, plantar é indubitavelmente cultivar. E a apenação atinge até quem semeia, que se situa, ou antes, ou no decorrer do ato de cultivar. O cultivo da maconha, ou de erva congênere, constitui crime permanente, a meu ver. "Nos crimes permanentes, deve-se observar que a consumação se protrai, se prolonga no tempo, dependente da conduta do sujeito ativo, (sequestro, por exemplo), "Manual de Direito Penal", JÜLIO F MIRABETE, pág. 83. O festejado DAMÁSIO E. DE JESUS, desenvolvendo considerações em torno de crimes comissivos, instantâneos, permanentes e instantâneos de efeitos permanentes, comenta: "Crimes permanentes são os que causam uma atuação danosa ou perigosa que se prolonga no tempo. O momento consumativo se protrai no tempo como diz a doutrina... . Nesses crimes, a situação lícita criada pelo agente se prolonga no tempo. 'O crime permanente se caracteriza pela circunstância de a consumação poder cessar por vontade do agente. A situação antijurídica perdura até quando queira o sujeito, explica JOSÉ FREDERICO MARQUES". Julgado em 13-04-1982 Jurisprudência Mineira, Abril a Junho, 1982 - Vol. 86 - Pág. 271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12, § 1º, II da lei nº 6.368/76. - Aquele que planta maconha, ou erva congênere pratica crime permanente, no qual a consumação se protrai, prolongando-se no tempo e possibilitando o flagrante no decorrer desse cultivo.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2026-07-27T23:16:08.708Z</dcterms:created>
  <dcterms:modified xsi:type="dcterms:W3CDTF">2026-07-27T23:16:08.708Z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