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SUSPENSÃO CONDICIONAL DO PROCESSO</w:t>
      </w:r>
    </w:p>
    <w:p>
      <w:r>
        <w:rPr>
          <w:i/>
          <w:iCs/>
          <w:color w:val="666666"/>
        </w:rPr>
        <w:t xml:space="preserve">OFERECIMENTO DA PROPOSTA</w:t>
      </w:r>
    </w:p>
    <w:p/>
    <w:p>
      <w:r>
        <w:rPr>
          <w:b/>
          <w:bCs/>
        </w:rPr>
        <w:t xml:space="preserve">Recurso: </w:t>
      </w:r>
      <w:r>
        <w:t xml:space="preserve">re 1984</w:t>
      </w:r>
    </w:p>
    <w:p>
      <w:r>
        <w:rPr>
          <w:b/>
          <w:bCs/>
        </w:rPr>
        <w:t xml:space="preserve">Julgado em: </w:t>
      </w:r>
      <w:r>
        <w:t xml:space="preserve">20/08/1984</w:t>
      </w:r>
    </w:p>
    <w:p/>
    <w:p>
      <w:r>
        <w:t xml:space="preserve">CARTEIRA VENCIDA — CARACTERIZAÇÃO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... Na hipótese em exame a contravenção do art. 32, da lei respectiva, configurou. Embora discutível a questão inclina-se a maioria pelo entendimento que conduzir veículo na via pública, estando o respectivo exame vencido, não é apenas infração administrativa (Julgados do TACrim, ed. Lex, vol. 51/353). Aliás esse também, é o ponto de vista de GERALDO F. L. PINHEIRO ("Anotações à Legislação Nacional de Trânsito, SP", 1973, vol. 1/ 230 -231). - "Evidenciou-se bem o d. terceiro Juiz DR. MARCUS VINICIUS, que a habilitação que a lei exige é a legal. Por isso é irrelevante que o motorista saiba manobrar o veículo. É necessário que ele cumpra todos os requisitos legais, e entre esses esta o exame de vista (cf. MARCELO JARDIM LINHARES, "Contravenções Penais", vol. 10/232) , ("in" JTACrimSP, vol 71, pág 263). Julgado em 21-08-1984 Jurisprudência Catarinense, 4º Trimestre 1984 - Vol. 46 - Pág. 406 EMFOR 438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carteira de habilitação vencida, por si só, caracteriza a contravenção penal do art. 32, e não simples infração administrativa.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Lex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2026-10-26T02:09:00.298Z</dcterms:created>
  <dcterms:modified xsi:type="dcterms:W3CDTF">2026-10-26T02:09:00.298Z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