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re 1984</w:t>
      </w:r>
    </w:p>
    <w:p>
      <w:r>
        <w:rPr>
          <w:b/>
          <w:bCs/>
        </w:rPr>
        <w:t xml:space="preserve">Julgado em: </w:t>
      </w:r>
      <w:r>
        <w:t xml:space="preserve">20/08/1984</w:t>
      </w:r>
    </w:p>
    <w:p/>
    <w:p>
      <w:r>
        <w:t xml:space="preserve">ATRIBUIÇÃO PARA ESCONDER PASSADO CRIMINOSO — SE TIPIFICA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que concerne ao delito de falsa identidade, a jurisprudência, com base no princípio da autodefesa, considera atípica a conduta do agente que, como réu apelante, visa eximir-se de passado, criminoso (RT 511/402; 479/354; RF 512/393 e JUTACrimSP, 50/396). Todavia ainda que assim não fosse, a falsa identidade estaria absorvida pela ofensa maior à lei, no caso, a falsidade ideológica, daí não ser possível condenação autônoma por ela, nem pelo delito de uso de documento falso, pois o raciocínio também a ele se aplica. - Assim sendo, a sentença deve subsistir tão somente no respeita à condenação pelo delito de falsidade ideológica. Por outro lado, o fato do apelante responder a outro processo não implica, necessariamente, em óbice à concessão do "sursis" pois, como já acentuou este Egrégio Tribunal, poderá ser absolvido, não sendo justo que se lhe negue a mercê (JC 33/331 e 27/437). Julgado em 21-08-1984 Jurisprudência Catarinense, 4º Trimestre 1984 - Vol. 46 - Pág. 429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falsa identidade atribuída em autodefesa, para esconder passado criminoso, não tipifica o delito por falta de dolo específico.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2026-07-27T23:18:55.608Z</dcterms:created>
  <dcterms:modified xsi:type="dcterms:W3CDTF">2026-07-27T23:18:55.608Z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