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>
      <w:r>
        <w:rPr>
          <w:b/>
          <w:bCs/>
        </w:rPr>
        <w:t xml:space="preserve">Recurso: </w:t>
      </w:r>
      <w:r>
        <w:t xml:space="preserve">re 1984</w:t>
      </w:r>
    </w:p>
    <w:p>
      <w:r>
        <w:rPr>
          <w:b/>
          <w:bCs/>
        </w:rPr>
        <w:t xml:space="preserve">Julgado em: </w:t>
      </w:r>
      <w:r>
        <w:t xml:space="preserve">20/08/1984</w:t>
      </w:r>
    </w:p>
    <w:p/>
    <w:p>
      <w:r>
        <w:t xml:space="preserve">ATRIBUIÇÃO PARA ESCONDER PASSADO CRIMINOSO — SE TIPIFICA O DELITO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que concerne ao delito de falsa identidade, a jurisprudência, com base no princípio da autodefesa, considera atípica a conduta do agente que, como réu apelante, visa eximir-se de passado, criminoso (RT 511/402; 479/354; RF 512/393 e JUTACrimSP, 50/396). Todavia ainda que assim não fosse, a falsa identidade estaria absorvida pela ofensa maior à lei, no caso, a falsidade ideológica, daí não ser possível condenação autônoma por ela, nem pelo delito de uso de documento falso, pois o raciocínio também a ele se aplica. - Assim sendo, a sentença deve subsistir tão somente no respeita à condenação pelo delito de falsidade ideológica. Por outro lado, o fato do apelante responder a outro processo não implica, necessariamente, em óbice à concessão do "sursis" pois, como já acentuou este Egrégio Tribunal, poderá ser absolvido, não sendo justo que se lhe negue a mercê (JC 33/331 e 27/437). Julgado em 21-08-1984 Jurisprudência Catarinense, 4º Trimestre 1984 - Vol. 46 - Pág. 429 EMFOR 438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falsa identidade atribuída em autodefesa, para esconder passado criminoso, não tipifica o delito por falta de dolo específico.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2026-10-26T04:41:10.036Z</dcterms:created>
  <dcterms:modified xsi:type="dcterms:W3CDTF">2026-10-26T04:41:10.036Z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