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>
      <w:r>
        <w:rPr>
          <w:b/>
          <w:bCs/>
        </w:rPr>
        <w:t xml:space="preserve">Julgado em: </w:t>
      </w:r>
      <w:r>
        <w:t xml:space="preserve">31/07/1984</w:t>
      </w:r>
    </w:p>
    <w:p/>
    <w:p>
      <w:r>
        <w:t xml:space="preserve">NECESSIDADE DE SABER O AGENTE TRATAR-SE DE COISA ALHEIA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Se o agente, completamente embriagado, se apossa de uma bicicleta que não lhe pertence, ocorre o que o Código Penal, na redação imposta pela Lei 7.209 chama de "erro sobre elemento do tipo", pois a ciência de que se trata de "res aliena" é essencial a caracterização do dolo. - A prova uníssona é no sentido de que o agente completamente alcoolizado, ao ser detido, sem esboçar reação, declarou haver suposto que o biciclo lhe pertencia. E tanto não estava com a intenção de apropriar-se de coisa alheia, que, levando consigo tal objeto, parou com ele na estação rodoviária, junto a um bar. O investigador de polícia que o deteve assevera que o réu "é trabalhador, honesto, estranhando o fato". Não houve furto enfim. Julgado em 01-08-1984 Revista dos Tribunais, Janeiro, 1985 - Vol. 591 - Pág. 355 EMFOR 438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subtração de coisa, para constituir crime de furto, exige que o agente tenha consciência de se tratar de bem alheiro.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2026-07-27T23:01:09.781Z</dcterms:created>
  <dcterms:modified xsi:type="dcterms:W3CDTF">2026-07-27T23:01:09.781Z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