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SUSPENSÃO CONDICIONAL DO PROCESSO</w:t>
      </w:r>
    </w:p>
    <w:p>
      <w:r>
        <w:rPr>
          <w:i/>
          <w:iCs/>
          <w:color w:val="666666"/>
        </w:rPr>
        <w:t xml:space="preserve">OFERECIMENTO DA PROPOSTA</w:t>
      </w:r>
    </w:p>
    <w:p/>
    <w:p>
      <w:r>
        <w:rPr>
          <w:b/>
          <w:bCs/>
        </w:rPr>
        <w:t xml:space="preserve">Julgado em: </w:t>
      </w:r>
      <w:r>
        <w:t xml:space="preserve">04/04/1983</w:t>
      </w:r>
    </w:p>
    <w:p/>
    <w:p>
      <w:r>
        <w:t xml:space="preserve">PRAZO — FLUÊNCIA - QUANDO SE INICIA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Não se pode admitir que "Defensor Público, perca as garantias de comunicação dos atos do processo, através da abertura de vista, a pretexto de que não pertence mais à carreira do Ministério Público, quando, ao mesmo tempo, se priva o Defensor Público das garantias mínimas de "identificação" inerentes ao exercício do patrocínio dos advogados em geral. - A finalidade da intimação ou notificação há de ser atingida, da melhor maneira para as partes e seus defensores, para que se possa operar ao sistema preclusivo dos prazos. Injusto seria, para a parte e para os próprios Defensores Públicos , exigir a eficácia preclusiva, retirando quase todo a possibilidade de ciência efetiva dos atos do processo por parte da Assembléia Judiciária. Julgado em 05-04-1983 Arquivo do EMFOR, TA/574 EMFOR 438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Aplicação do art. 236, § 2º, e 237 I e 239 § único, I do CPC. - O prazo para recurso, quando funciona a Defensoria Pública, conta-se da abertura de vista dos autos.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2026-10-26T05:39:24.218Z</dcterms:created>
  <dcterms:modified xsi:type="dcterms:W3CDTF">2026-10-26T05:39:24.218Z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