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29/03/1984</w:t>
      </w:r>
    </w:p>
    <w:p/>
    <w:p>
      <w:r>
        <w:t xml:space="preserve">FLUÊNCIA — INTIMAÇÃO AO DEFENSOR - REQUISITO ESSENCIAL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apelo foi assim, oportuno. Para que se veja respeitada a garantia constitucional da ampla defesa, cumpre entender que o prazo para apelar começa somente após a intimação da sentença ao defensor, ainda que dativo. Neste sentido a jurisprudência do STF, conforme se vê no HC 56.775 (RTJ 89/814), no RHC 60.361 (RTJ 103/1.046) e precedente a súmula com que o Ministro DÉCIO MIRANDA resumindo acórdão: "Processual Penal, Intimação da sentença condenatória. Prazo do recurso. Não basta a intimação de sentença ao réu preso para que comece a fluir o prazo de interposição da apelação, sendo necessária também a de seu defensor dativo ou constituído. Interpretação neste sentido dada por esta Turma no RHC 56.433, relator o Ministro MOREIRA ALVES, sessão de 6-10-78 à luz do princípio da ampla defesa. (art. 153, § 15, da Constituição)". Julgado em 30-03-1984 Revista Trimestral de Jurisprudência, Setembro de1984, Vol. 109 - Pág. 962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começa a fluir o prazo recursal sem que seja intimado o defensor, constituído ou dativo do réu.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2026-10-26T02:19:02.367Z</dcterms:created>
  <dcterms:modified xsi:type="dcterms:W3CDTF">2026-10-26T02:19:02.367Z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