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Julgado em: </w:t>
      </w:r>
      <w:r>
        <w:t xml:space="preserve">14/05/1985</w:t>
      </w:r>
    </w:p>
    <w:p/>
    <w:p>
      <w:r>
        <w:t xml:space="preserve">OFERTA DE DINHEIRO POSTERIOR À AÇÃO OU OMISSÃO — SE 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É que a oferta da vantagem pecuniária ocorreu quando o réu já havia sido apresentado ao Delegado de Polícia, que determinou a lavratura do auto de prisão em flagrante. - Vale dizer, por ocasião do oferecimento da vantagem indevida, o policial já havia praticado o ato de ofício que lhe incumbia e não tinha mais condições de evitar a realização do flagrante, ato para o qual não tinha atribuição. - Ora, como acentua NÉLSON HUNGRIA, «o ato ou abstenção a que a corrupção se refere deve ser da competência do "intraneus", isto é, deve estar compreendido nas suas específicas atribuições funcionais, pois só neste caso pode deparar-se com um dano efetivo ou potencial ao regular funcionamento da administração» (cf. Comentários ao Código Penal, vol. IX/371). - Na realidade, o oferecimento posterior à ação ou omissão não caracteriza o crime pois, como observa CELSO DELMANTO, com lastro em entendimento da jurisprudência, o delito é dar para que se faça ou omita e não dar porque se fez ou se omitiu (cf. Código Penal Anotado, pp. 440 e 441, 5ª ed.). - Inafastável, pois, a absolvição do réu, relativamente ao delito do art. 333 do CP. Fica assim, a pena reduzida à multa... - Ante o exposto, dão provimento em parte ao recurso, para os fins acima explicitados. Julgado em 15-05-1985 Revista dos Tribunais. Setembro, 1985- Vol. 599- Pág. 309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333 do Código Penal de 1940. - O oferecimento de dinheiro posterior à ação ou omissão não caracteriza o crime de corrupção ativa, cuja razão de ser é oferecer ou prometer vantagem indevida a funcionário público para que faça ou omita ato de ofício, e não dar porque se fez ou omitiu.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2026-07-27T23:01:20.343Z</dcterms:created>
  <dcterms:modified xsi:type="dcterms:W3CDTF">2026-07-27T23:01:20.343Z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