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09/02/1984</w:t>
      </w:r>
    </w:p>
    <w:p/>
    <w:p>
      <w:r>
        <w:t xml:space="preserve">SE SÃO COMPATÍVEIS AS DUAS FIGURAS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o acórdão recorrido divergiu dos acórdãos do Supremo Tribunal Federal indicados como paradigmas na petição recursal, que reconheceram a incompatibilidade da figura do furto privilegiado com o furto qualificado. - Em verdade, tal como salientou um dos mencionados arestos " ambas as Turmas do STF já firmaram entendimento de que a solução a que alude o § 2º do art. 155 do Código Penal não é aplicável ao furto qualificado ( RTJ 99 / 949 / 950 ). Julgado em 10-02-1984 Revista Trimestral de Jurisprudência. Setembro, 1984 - Vol. 109 - Pág. 1.271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Furto qualificado é incompatível com a figura do furto privilegiado.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2026-07-28T01:43:39.529Z</dcterms:created>
  <dcterms:modified xsi:type="dcterms:W3CDTF">2026-07-28T01:43:39.529Z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