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12/03/1984</w:t>
      </w:r>
    </w:p>
    <w:p/>
    <w:p>
      <w:r>
        <w:t xml:space="preserve">DENÚNCIA DE NULIDADE — QUANDO É MEIO 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cabimento do " Habeas Corpus " para exame de nulidades ocorridas em processos criminais, findos ou não, tem suporte no art. 153 § 20, da vigente Lei Maior e no art. 648, VI do CPP, sendo proclamado em reiterada jurisprudência do Supremo Tribunal Federal ( v. RHC nº 60.264 - RJ, 2ª Turma, relator Min. MOREIRA ALVES, in RTJ 106 / 94; RHC nº 58.838-7 - MG, 1ª Turma, rel. Min. ANTONIO NEDER, in DJ de 28-8-81, pág. 8.263 e RHC nº 46.807 - MG, rel. Min. LUIZ GALLOTTI, in RTJ 49 / 592 ). - .................................................................................................................................................................. - Somos, em face do exposto, pelo provimento do recurso. Julgado em 13-03-1984 Revista Trimestral de Jurisprudência. Agosto, 1984 - Vol. 109 - Pág. 558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meio hábil para a denúncia de nulidades do processo penal, o "Habeas Corpus", mesmo havendo sentença trânsita em julgado. ( Ementa modificada pelo EMENTÁRIO FORENSE 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2026-07-27T23:31:56.692Z</dcterms:created>
  <dcterms:modified xsi:type="dcterms:W3CDTF">2026-07-27T23:31:56.692Z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