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27/02/1984</w:t>
      </w:r>
    </w:p>
    <w:p/>
    <w:p>
      <w:r>
        <w:t xml:space="preserve">FALTA — TRANCAMENTO - MATÉRIA QUE NÃO ADMITE CONTROVÉRSIA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A propósito já decidiu a jurisprudência : "Em se tratando de pedido de trancamento de ação penal sob o fundamento da falta de justa causa, o direito do paciente há de versar sobre matéria que não admita controvérsia, ou seja, sobre direito absoluto, que se manifeste "prima facie". Isso porque o processo do "writ", por sua peculiar brevidade, não comporta discussões a respeito da evidência do direito invocado" (Julgados do TACtrim SP, vol. 37/118). "Se a acusação responsabiliza o agente por conduta que, em tese, caracteriza infração penal e as provas da investigação policial não afastam, "prima facie", a procedência da imputação, impossível trancar-se o processo por falta de justa causa" (IDEM, vol. 39/65). Julgado em 28-02-1984 Jurisprudência Catarinense, 2º Trimestre 1984 - Nº XLIV - Pág. 356 EMFOR 437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ao agente se imputa atuação que, em tese caracteriza infração penal, o trancamento de respectiva ação por falta de justa causa só se justifica quando a matéria que o favorece não admita controvérsia, manifestando-se, "prima facie", como direito absoluto e indiscutível, o que na espécie não ocorre.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2026-10-26T03:42:07.621Z</dcterms:created>
  <dcterms:modified xsi:type="dcterms:W3CDTF">2026-10-26T03:42:07.621Z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