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27/02/1984</w:t>
      </w:r>
    </w:p>
    <w:p/>
    <w:p>
      <w:r>
        <w:t xml:space="preserve">FALTA — TRANCAMENTO - MATÉRIA QUE NÃO ADMITE CONTROVÉRSIA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 propósito já decidiu a jurisprudência : "Em se tratando de pedido de trancamento de ação penal sob o fundamento da falta de justa causa, o direito do paciente há de versar sobre matéria que não admita controvérsia, ou seja, sobre direito absoluto, que se manifeste "prima facie". Isso porque o processo do "writ", por sua peculiar brevidade, não comporta discussões a respeito da evidência do direito invocado" (Julgados do TACtrim SP, vol. 37/118). "Se a acusação responsabiliza o agente por conduta que, em tese, caracteriza infração penal e as provas da investigação policial não afastam, "prima facie", a procedência da imputação, impossível trancar-se o processo por falta de justa causa" (IDEM, vol. 39/65). Julgado em 28-02-1984 Jurisprudência Catarinense, 2º Trimestre 1984 - Nº XLIV - Pág. 356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ao agente se imputa atuação que, em tese caracteriza infração penal, o trancamento de respectiva ação por falta de justa causa só se justifica quando a matéria que o favorece não admita controvérsia, manifestando-se, "prima facie", como direito absoluto e indiscutível, o que na espécie não ocorre.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2026-07-27T23:51:26.372Z</dcterms:created>
  <dcterms:modified xsi:type="dcterms:W3CDTF">2026-07-27T23:51:26.372Z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