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98.489</w:t>
      </w:r>
    </w:p>
    <w:p>
      <w:r>
        <w:rPr>
          <w:b/>
          <w:bCs/>
        </w:rPr>
        <w:t xml:space="preserve">Julgado em: </w:t>
      </w:r>
      <w:r>
        <w:t xml:space="preserve">23/06/1983</w:t>
      </w:r>
    </w:p>
    <w:p/>
    <w:p>
      <w:r>
        <w:t xml:space="preserve">QUANDO OCORRE ESTA NOS DELITOS OCORRENTES APÓS A VIGÊNCIA DA LEI 6.416/77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Ambas as Turmas desta Corte já firmaram jurisprudência no sentido de que os parágrafos 1º e 2º artigo 110 do Código Penal, introduzidos pela Lei 6.416/77, dizem respeito à prescrição da pretensão executória, e não à prescrição da pretensão punitiva (RHC nº 56.855, RTJ 91/824 e segs., 2ª Turma, relator o Sr. Min. DJACI FALCÃO RE nº 98.489, 1ª Turma, relator o Sr. Min. SOARES MUÑOZ). - No caso, em que o próprio fato delituoso ocorreu depois da entrada em vigor da Lei nº 6.416/77, a prescrição é da pretensão executória, ao contrário, portanto, do que decidiu o acórdão recorrido. Julgado em 24-06-1983 Revista Trimestral de Jurisprudência. Maio de 1984 - Vol. 108 - Pág. 838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§§ 1º e 2º do artigo 110 do Código Penal, introduzidos pela Lei nº 6.416/77, dizem respeito à prescrição da pretensão executória, e não à prescrição da pretensão punitiva.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2026-07-28T00:38:51.943Z</dcterms:created>
  <dcterms:modified xsi:type="dcterms:W3CDTF">2026-07-28T00:38:51.943Z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