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11/09/1984</w:t>
      </w:r>
    </w:p>
    <w:p/>
    <w:p>
      <w:r>
        <w:t xml:space="preserve">ANULAÇÃO ADMINISTRATIVA — SE RETIRA A JUSTA CAUSA DA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efetivamente tenha havido o cancelamento e ainda que implicitamente, possa ser identificado nesse cancelamento efeito "ex tunc", já que o parecer que alicerçou a decisão se funda na "...colidente comprovação das características reivindicadas, à época do depósito do pedido que lhe deu origem", certo também é que não houve anulação judicial da indigitada patente , com efeitos "ex tunc". O cancelamento constitui ato administrativo, que, em tese e enquanto não decorrido o lapso prescricional como previsto no art. 1º do Dec. 20.910 de 06-01-1932, está sujeito ao controle do Judiciário e pode este ser retirado, desde que identificado vício que justifique eventual proclamação de sua nulidade. - É claro que as conseqüências do cancelamento administrativo da patente podem ser ventiladas na ação penal, como bem lembrado pelo digno Procurador de Justiça oficiante, mas daí, não será possível a conclusão da inexistência de justa causa a determinar o trancamento dessa mesma ação penal. - E, por outro lado, também como corretamente lembrado pelo parecer ministerial, logo a seguir a queixa atribui aos pacientes, além do delito de violação de patente, ainda o de concorrência desleal. E tais crimes independem da existência válida da patente. Denegam portanto, a ordem impetrada. Julgado em 12-09-1984 Revista dos Tribunais. Fevereiro de 1985 - Vol. 592 - Pág. 339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quando anulada judicialmente a patente de invenção é que inexiste justa causa para a ação penal por crime contra a propriedade industrial. A mera anulação administrativa não tem esse efeito.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2026-07-28T00:07:15.649Z</dcterms:created>
  <dcterms:modified xsi:type="dcterms:W3CDTF">2026-07-28T00:07:15.649Z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