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26/03/1984</w:t>
      </w:r>
    </w:p>
    <w:p/>
    <w:p>
      <w:r>
        <w:t xml:space="preserve">INTERPOSIÇÃO DESTA — QUANDO NÃO IMPEDE A IMPETRAÇÃO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impede a impetração de "habeas corpus", no art. 153, § 20 não pressupõe a restrição oposta no v. acórdão recorrido, se a coação pode ser corrigida de pronto através daquela medida processual, não cabe deixar-se aquele que se encontre sofrendo a coação - ou supondo sofrê-la - aguardar a tramitação, nem sempre rápida, da apelação criminal. - Deste modo, e endossando a manifestação da douta Procuradoria geral da república, dou parcial provimento ao recurso, para que retornem os autos à 4ª Câmara Criminal do Tribunal de Justiça do Rio de Janeiro, para exame da argumentação. Julgado em 27-03-1984 Revista Trimestral de Jurisprudência. Janeiro, 1985 - Vol. 111 - Pág. 274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impedimento em que seja impetrado "habeas corpus", embora tenha sido interposta apelação da sentença condenatória, se a matéria versada no "writ" for apenas de direito, não havendo dúvidas quanto aos fatos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2026-07-27T23:37:25.802Z</dcterms:created>
  <dcterms:modified xsi:type="dcterms:W3CDTF">2026-07-27T23:37:25.802Z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