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24/02/1983</w:t>
      </w:r>
    </w:p>
    <w:p/>
    <w:p>
      <w:r>
        <w:t xml:space="preserve">EXAME DE FATOS E PROVAS — MEIO INIDÔNEO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...Vê-se da leitura do acórdão que confirmou a sentença desfavorável ao paciente, por cópia às fls. ... que o decisório foi adotado, com base na discussão da prova. Revê-la ou saber da justiça ou injustiça comportável no âmbito do "Habeas Corpus" que não é sucedâneo da revisão criminal. - Disse-o com inteiro acerto, o Procurador da República, Dr. ARISTIDES JUNQUEIRA ALVARENGA, com aprovação do ilustre Professor ASSIS TOLEDO, ilustre Subprocurador-Geral da república, no parecer às fls. ...: "Todavia, a pretensão exposta no pedido é inviável, eis que, em sede de "habeas corpus" não se pode reexaminar minudentemente a prova, que diz respeito ao mérito da ação. A justiça ou injustiça da sentença condenatória não pode ser examinada em "habeas corpus' que não é sucedâneo da revisão criminal". Julgado em 25-02-1983 Revista Trimestral de Jurisprudência. Novembro 1984- Vol. 110 - Pág. 555.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não constitui a via idônea para discussão dos fatos e provas, de que resultou a condenação do paciente, a fim de reconhecer-se sua alegada inocência ou a injustiça da pena imposta.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2026-07-27T23:51:40.184Z</dcterms:created>
  <dcterms:modified xsi:type="dcterms:W3CDTF">2026-07-27T23:51:40.184Z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