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21/10/1984</w:t>
      </w:r>
    </w:p>
    <w:p/>
    <w:p>
      <w:r>
        <w:t xml:space="preserve">INCLUSÃO NAS SUAS ATRIBUIÇÕES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Conhece-se do pedido. A Jurisprudência já se firmou no sentido de que a violação do direito líquido e certo, à falta de recurso específico, pode ser reparada através do remédio heróico, mesmo em matéria criminal. Aos arestos indicados pelos representantes do MP (RT 511/373 e 557/338). Outros podem ser acrescentados RT 531/ 329), etc. As considerações do digno Impetrante e as que constam do parecer do Dr. Procurador, por sua vez, deixam claro que tal impetração figura no rol das atribuições do MP, como se vê no art. 39 V da lei orgânica dessa Instituição, a lei Complementar 304 de 28-12-1982. - No mérito acolhe-se a pretensão exposta na inicial. A decisão questionada relaxou a prisão em flagrante da denunciada MCRS, por reputar "duvidoso" o depoimento prestado por um filho daquela ré eis que "não é concebível que um filho acuse a própria mãe". Deixou de considerar entretanto, a existência de depoimentos testemunhais que atestam a responsabilidade de MC. E o argumento de que a falta de "certeza de um édito condenatório..." por si só justifica a concessão do benefício da liberdade provisória, constante do final das informações é inaceitável, pois condiciona a permanência dos réus no cárcere a um prévio julgamento da procedência da denúncia, o que não é possível. - E, ante a falta de outro meio de se impedir a eficácia do decreto que relaxou a prisão em flagrante, concede-se a segurança para confirmar a liminar, dando-se efeito suspensivo ao recurso em sentido estrito interposto pelo MP. Julgado em 22-10-1984 Revista dos Tribunais. Fevereiro 1985 - Vol. 592 - Pág. 316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Figura nas atribuições do Ministério Público a impetração do mandado de Segurança, como se infere do art. 39, V, da Lei Orgânica do Ministério Público de SP, a Lei Complementar estadual 304/42.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2026-07-28T00:01:02.352Z</dcterms:created>
  <dcterms:modified xsi:type="dcterms:W3CDTF">2026-07-28T00:01:02.352Z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