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CRIME DE USO</w:t>
      </w:r>
    </w:p>
    <w:p/>
    <w:p/>
    <w:p>
      <w:r>
        <w:t xml:space="preserve">LANÇAMENTO DO NOME DO RÉU BENEFICIADO COM O "SURSIS"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lançamento do nome do paciente no "rol dos culpados" não evidencia qualquer constrangimento ilegal, diante do que dispõe o art. 163 da LEP. - A lei estabelece apenas que tal registro é sigiloso, salvo para informações requisitadas por órgão do Poder Judiciário ou pelo Ministério Público, para instruir processo penal (§ 2.º do art. 163). Aliás, tal regra se estende a todos aqueles que tiveram cumprida ou extinta a pena por qualquer outra razão (art. 202 da LEP). Ac. de 26-07-1999 Revista dos Tribunais, novembro de 1999, vol. 769, pág. 584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lançamento do nome do réu, beneficiado com a suspensão condicional da pena no rol dos culpados, não evidencia qualquer constrangimento ilegal, em face do disposto no art. 163 da Lei 7.210/84, uma vez que a Lei de Execução Penal apenas estabelece que o registro deve ser sigiloso, salvo para informações requisitadas por órgão do Poder Judiciário ou pelo Ministério Público para instruir processo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2026-07-28T06:48:30.678Z</dcterms:created>
  <dcterms:modified xsi:type="dcterms:W3CDTF">2026-07-28T06:48:30.678Z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