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/>
    <w:p>
      <w:r>
        <w:t xml:space="preserve">LANÇAMENTO DO NOME DO RÉU BENEFICIADO COM O "SURSIS"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lançamento do nome do paciente no "rol dos culpados" não evidencia qualquer constrangimento ilegal, diante do que dispõe o art. 163 da LEP. - A lei estabelece apenas que tal registro é sigiloso, salvo para informações requisitadas por órgão do Poder Judiciário ou pelo Ministério Público, para instruir processo penal (§ 2.º do art. 163). Aliás, tal regra se estende a todos aqueles que tiveram cumprida ou extinta a pena por qualquer outra razão (art. 202 da LEP). Ac. de 26-07-1999 Revista dos Tribunais, novembro de 1999, vol. 769, pág. 584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lançamento do nome do réu, beneficiado com a suspensão condicional da pena no rol dos culpados, não evidencia qualquer constrangimento ilegal, em face do disposto no art. 163 da Lei 7.210/84, uma vez que a Lei de Execução Penal apenas estabelece que o registro deve ser sigiloso, salvo para informações requisitadas por órgão do Poder Judiciário ou pelo Ministério Público para instruir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2026-10-26T02:34:39.800Z</dcterms:created>
  <dcterms:modified xsi:type="dcterms:W3CDTF">2026-10-26T02:34:39.800Z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