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PI</w:t>
      </w:r>
    </w:p>
    <w:p>
      <w:r>
        <w:rPr>
          <w:i/>
          <w:iCs/>
          <w:color w:val="666666"/>
        </w:rPr>
        <w:t xml:space="preserve">SUSPENSÃO CONDICIONAL DO PROCESSO</w:t>
      </w:r>
    </w:p>
    <w:p/>
    <w:p/>
    <w:p>
      <w:r>
        <w:t xml:space="preserve">DESCLASSIFICAÇÃO PARA ROUBO QUALIFICADO PELO EMPREGO DE ARMA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incabível se torna a tese sustentada pela defesa de que a intenção do réu era apenas intimidar a vítima para conseguir consumar a subtração do relógio desta. Ao contrário, resta inequívoco o animus necandi do apelante de matar a vítima para subtrair-lhe o referido relógio, fato tipificador de latrocínio, aqui não consumado, e não de roubo qualificado pelo emprego de arma porque desta se serviu não para a intimidação, mas para a prática de violência física, executada com o desfecho de sete facadas. - Outrossim, para configuração da tentativa de latrocínio irrelevante se mostra a necessidade de as lesões corporais sofridas pela vítima serem de natureza grave, bastando a comprovação da intenção de matar para subtrair, não se consumando a morte por circunstâncias alheias à vontade do agente, o ora apelante, qual seja, a interseção da testemunha retroindicada. Ac. de 30-06-1999 Revista dos Tribunais, novembro de 1999, vol. 769, pág. 635 EMFOR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se serve de arma na subtração patrimonial para a prática da violência física e não só da intimidação, a adequação típica do fato se subsume ao latrocínio, no caso, tentado, e não ao roubo qualificado pelo emprego de arma.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2026-10-26T04:57:48.901Z</dcterms:created>
  <dcterms:modified xsi:type="dcterms:W3CDTF">2026-10-26T04:57:48.901Z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