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Relator: </w:t>
      </w:r>
      <w:r>
        <w:t xml:space="preserve">BUENO DE SOUZA</w:t>
      </w:r>
    </w:p>
    <w:p/>
    <w:p>
      <w:r>
        <w:t xml:space="preserve">COMPETÊNCIA DA JUSTIÇA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verdade, a "quaestio" foi exaustivamente analisada pelo culto Subprocurador-Geral da República, Dr. JAIR BRANDÃO DE SOUZA MEIRA, cujo pronunciamento incorporamos "in verbis": "Os fatos noticiados constituem, em tese, a prática dos delitos de ameaça e abuso de autoridade cometidos por um agente federal para impedir a propaganda eleitoral desenvolvida pelas vítimas, incidindo, respectivamente, nas penas do art. 147 do Código Penal, art. 3º, letra "a", da Lei n. 4.898, de 09.12.65 e art. 331 do Código Eleitoral. A regra do art. 78, inciso IV, do Código de Processo Penal é de que no concurso entre a jurisdição comum e a especial, prevalecerá esta. A hipótese revela a conexão entre crime eleitoral e crimes comuns, em que a Justiça Eleitoral julgará todos os delitos. Neste sentido pronunciou-se o Tribunal Superior Eleitoral, na Reclamação n. 69/89, Rel. Ministro BUENO DE SOUZA, em 23.12.89" (fls.). - No sentido supra: J. F. MIRABETE, "in" "Processo Penal", Atlas, 1997, p. 182. Portanto, em princípio, a regra, ditada pela conexão, indica a competência da Justiça Eleitoral. - Voto, pois, pelo conhecimento do conflito declarando a competência, para o caso, do Juízo Eleitoral ... Ac. de 23-04-1997 DJ de 26-05-1997 LEX, JSTJ e TRF - Vol. 98 - Pág. 279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conexão entre um crime eleitoral e outro comum, a Justiça Eleitoral, em prejuízo, julgará os dois delitos.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2026-07-28T00:09:04.400Z</dcterms:created>
  <dcterms:modified xsi:type="dcterms:W3CDTF">2026-07-28T00:09:04.400Z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