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PREFEITO MUNICIPAL</w:t>
      </w:r>
    </w:p>
    <w:p/>
    <w:p/>
    <w:p>
      <w:r>
        <w:t xml:space="preserve">APRECIAÇÃO DE CONDUTA DE JUIZ INCOMPATÍVEL COM A DIGNIDADE DO CARGO — SUA 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o Eminente Juiz da Capital de João Pessoa foi designado para apurar as eleições em Pombal. E, nessa cidade, então, apurou a contento as eleições. Não houve recurso. - Ocorre, porém, que, fora da função eleitoral, ele se excedeu em determinados bares, bebendo com outros companheiros por conta da municipalidade, ato este que, em verdade, torna-se reprovável e somente poderá apurá-lo o Conselho da Justiça Estadual. - Conseqüentemente, o meu voto é no sentido de que o processo deverá ser apreciado e julgado pelo Conselho da Justiça Estadual da Paraíba, onde exerce a função de Juiz de Direito. - ........................................................ - É como voto. Ac. de 15-05-1990 DJ de 17-12-1990 VENCIDO O MINISTRO JOSÉ DE JESUS FILHO LEX, JSTJ e TRF - Vol. 22 - Pág. 22 EMFOR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conduta social incompatível com a dignidade do cargo, estas irregularidades devem ser apuradas através do competente inquérito administrativo, cuja competência se mostra inafastável do Conselho de Magistratura Estadual. (Ementa modificada pelo EMFOR)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2026-07-27T23:54:12.022Z</dcterms:created>
  <dcterms:modified xsi:type="dcterms:W3CDTF">2026-07-27T23:54:12.022Z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