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CRIMES DE RESPONSABILIDADE</w:t>
      </w:r>
    </w:p>
    <w:p>
      <w:r>
        <w:rPr>
          <w:i/>
          <w:iCs/>
          <w:color w:val="666666"/>
        </w:rPr>
        <w:t xml:space="preserve">PROCESSO E JULGAMENTO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José Cândido</w:t>
      </w:r>
    </w:p>
    <w:p/>
    <w:p>
      <w:r>
        <w:t xml:space="preserve">PROCESSO E JULGAMENTO — COMPETÊNCIA DO TRIBUNAL REGIONAL ELEITORAL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, deveras, são reiterados os precedentes desta Eg. Seção, sobre remover-se para o respectivo Tribunal Regional Eleitoral o processo-crime contra Prefeito Municipal, deslocado, assim, do Tribunal de Justiça, por força da especialidade. - Ao padrão colacionado no parecer, somem-se os que se seguem: "PREFEITO MUNICIPAL. CRIME ELEITORAL. COM-PETÊNCIA DO TRIBUNAL REGIONAL ELEITORAL, MESMO EXTINTO O MANDATO. PRECEDENTE DO SUPREMO TRIBUNAL FEDERAL. SÚMULA 394. CONSTITUIÇÃO, ARTIGO 29, INCISO VIII. Praticado o crime a ele imputado, durante o exercício do mandato, é da competência do Tribunal Regional Eleitoral o processo contra o ex-Prefeito. Conflito conhecido e julgado procedente." - CC 1.005, Rel. Min. José Cândido, STJ, Ementário, pág. 170. "CONFLITO DE COMPETÊNCIA. PREFEITO MUNICIPAL. NOTÍCIA DE INFRAÇÃO PENAL ELEITORAL. COMPETÊNCIA. Ressalva-se a competência do Tribunal Regional Eleitoral, para conhecer de notícia de infração penal eleitoral atribuída a Prefeito Municipal, em face da definida, por prerrogativa de função, no art. 29, VIII, da Constituição." - CC 1.265-SP, Rel. Min. Dias Trindade, obra citada, pág. 185. - Por outro lado, vem ao caso a tradicional orientação do Supremo Tribunal Federal, construída no sentido de que a prerrogativa de foro se impõe, mesmo que o agente somente após a prática delituosa tenha assumida a função pública concernente, tal qual se deu no caso dos autos. - Pelo exposto, conheço do conflito e declaro competente o suscitante - o Tribunal Regional Eleitoral do Estado do Amazonas, se por acaso ainda não se encontrar instalado o TRE do Estado de Roraima, local do delito. Ac. de 06-02-1992 Registro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Firme jurisprudência do Superior Tribunal de Justiça, por sua Terceira Seção, sobre escapar ao foro por prerrogativa de função a competência da Justiça Eleitoral, prevalente em razão da matéria - CF, art. 29, VIII.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2026-10-26T04:18:09.160Z</dcterms:created>
  <dcterms:modified xsi:type="dcterms:W3CDTF">2026-10-26T04:18:09.160Z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