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Julgado em: </w:t>
      </w:r>
      <w:r>
        <w:t xml:space="preserve">21/08/1989</w:t>
      </w:r>
    </w:p>
    <w:p/>
    <w:p>
      <w:r>
        <w:t xml:space="preserve">CONVERSÃO DA SEPARAÇÃO SEM RESSALVA — RENÚNCIA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Corte, na AC 949/89, relator o eminente Des. RENATO MANESCHY, decidiu em questão semelhante, com a seguinte ementa, "verbis": "Alimentos. Casal separado pelo desquite há cerca de trinta anos, com a renúncia da mulher à percepção de pensão. Embora doutrina e jurisprudência entendam ser irrenunciável a pensão, cujo direito apenas pode não ser exercido não se justifica decorridos mais de trinta anos de separação, sobretudo quando a ex-mulher tem atividade remunerada, percebendo cerca de metade do que recebe o ex-marido, e tem imóvel próprio, enquanto este que é aposentado do INPS, contraiu novas núpcias e é portador de cardiopatia grave" (julgado em 22-8-89). Ac. de 05-12-1989 Arquivo do EMFOR - TJ/2.134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Convertida a separação em divórcio, sem ressalva da obrigação do marido a prestar alimentos à mulher, não há mais invocar norma do artigo 404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2026-09-10T23:18:30.703Z</dcterms:created>
  <dcterms:modified xsi:type="dcterms:W3CDTF">2026-09-10T23:18:30.703Z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