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Julgado em: </w:t>
      </w:r>
      <w:r>
        <w:t xml:space="preserve">21/08/1989</w:t>
      </w:r>
    </w:p>
    <w:p/>
    <w:p>
      <w:r>
        <w:t xml:space="preserve">CONVERSÃO DA SEPARAÇÃO SEM RESSALVA — RENÚNCIA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 Corte, na AC 949/89, relator o eminente Des. RENATO MANESCHY, decidiu em questão semelhante, com a seguinte ementa, "verbis": "Alimentos. Casal separado pelo desquite há cerca de trinta anos, com a renúncia da mulher à percepção de pensão. Embora doutrina e jurisprudência entendam ser irrenunciável a pensão, cujo direito apenas pode não ser exercido não se justifica decorridos mais de trinta anos de separação, sobretudo quando a ex-mulher tem atividade remunerada, percebendo cerca de metade do que recebe o ex-marido, e tem imóvel próprio, enquanto este que é aposentado do INPS, contraiu novas núpcias e é portador de cardiopatia grave" (julgado em 22-8-89). Ac. de 05-12-1989 Arquivo do EMFOR - TJ/2.134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Convertida a separação em divórcio, sem ressalva da obrigação do marido a prestar alimentos à mulher, não há mais invocar norma do artigo 404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2026-10-26T05:55:42.034Z</dcterms:created>
  <dcterms:modified xsi:type="dcterms:W3CDTF">2026-10-26T05:55:42.034Z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