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03/08/1998</w:t>
      </w:r>
    </w:p>
    <w:p/>
    <w:p>
      <w:r>
        <w:t xml:space="preserve">INEXISTÊNCIA DE PLURALIDADE DE LATROCÍNIOS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 - Haverão os apelados, portanto, que ser condenados como infratores no art. 157 § 3º (in fine); e 157 § 2º, I e II c.c. 14, II; na forma do art. 69 do Código Penal. - No tocante à primeira imputação, tem-se que, malgrado a multiplicidade de mortes, tratando-se o latrocínio de delito complexo, que se perquire o crime-fim, patrimonial, o número de mortes, crimes-meio, não o desnatura devendo servir de agravante judicial na determinação da pena-base. - Inexiste, assim, pluralidade de latrocínio em razão da multiplicidade de mortes, inviabilizando o reconhecimento da continuidade delitiva. Julgado em 04-08-1998 Revista de Direito - TJRJ - Vol. 37 - Pág. 395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tem-se que malgrado a multiplicidade de mortes, tratando-se o latrocínio de delito complexo em que se perqüire o crime-fim, de natureza patrimonial, o número de mortes, crimes-meio, não desnatura, devendo servir de agravante judicial na determinação da sua pena-base. Inexistindo, assim, pluralidade de latrocínios em razão de multiplicidade de mortes, inviabiliza-se o reconhecimento da continuidade delitiva, pretendida pelo M.P.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2026-10-26T03:43:29.291Z</dcterms:created>
  <dcterms:modified xsi:type="dcterms:W3CDTF">2026-10-26T03:43:29.291Z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