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MANDADO DE SEGURANÇA</w:t>
      </w:r>
    </w:p>
    <w:p>
      <w:r>
        <w:rPr>
          <w:i/>
          <w:iCs/>
          <w:color w:val="666666"/>
        </w:rPr>
        <w:t xml:space="preserve">TRIBUNAL REGIONAL ELEITORAL</w:t>
      </w:r>
    </w:p>
    <w:p/>
    <w:p/>
    <w:p>
      <w:r>
        <w:t xml:space="preserve">NÃO OBEDIÊNCIA AO PATRULHEIRO QUE MANDA PARAR VEÍCULO — INFRAÇÃO ADMINISTRATIVA APENAS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Desobediência ao gesto de patrulheiro que ordena a parada de veículo. Ausentes os requisitos caracterizados da definição legal do art. 330 do Cód. Penal, por tratar-se de infração administrativa relacionada com o Código Nacional de Trânsito. Exarcebação dos milicianos e da condenação criminal imposta. Absolvição por imperativo do art. 386, inciso III do Código de Processo Penal. Ac. de 16-12-1999 Revista de Direito, TJRJ - Julho/Setembro 2000 - Vol. 44 - Pág. 372 EMFOR 626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2026-10-26T03:22:08.350Z</dcterms:created>
  <dcterms:modified xsi:type="dcterms:W3CDTF">2026-10-26T03:22:08.350Z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