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>
      <w:r>
        <w:rPr>
          <w:b/>
          <w:bCs/>
        </w:rPr>
        <w:t xml:space="preserve">Julgado em: </w:t>
      </w:r>
      <w:r>
        <w:t xml:space="preserve">07/04/1983</w:t>
      </w:r>
    </w:p>
    <w:p/>
    <w:p>
      <w:r>
        <w:t xml:space="preserve">PRAZO — TRINTA DIAS DA HOMOLOGAÇÃO DO LAUDO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que se extrai do art. 529 do Código de Processo Penal é o de que, nos crimes de ação privada, mediante queixa do ofendido, se conta o prazo de decadência da intimação do despacho de homologação do laudo pericial, que servirá de fundamento à instauração da ação penal. A regra do art. 529 é excepcional, e, por isso, se sobrepõe à do art. 38, que é geral. - Negaram provimento ao recurso. Julgado em 08-04-1983 Revista Trimestral de Jurisprudência. Fevereiro, 1984. Vol. 107 - Pág. 599 NO MESMO SENTIDO: Rec. Hab. Corpus nº 57.352 - SP, STF, 1ª T., Relator: Ministro RAFAEL MAYER, ac. de 20-11-1979, in EMENTÁRIO FORENSE, nº 387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de ação penal privada, o entendimento que se extrai do art. 529 do Código de Processo Penal é que o prazo de decadência se conta da intimação do despacho de homologação do laudo pericial.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2026-07-27T23:59:50.923Z</dcterms:created>
  <dcterms:modified xsi:type="dcterms:W3CDTF">2026-07-27T23:59:50.923Z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