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APROPRIAÇÃO INDÉBITA</w:t>
      </w:r>
    </w:p>
    <w:p>
      <w:r>
        <w:rPr>
          <w:i/>
          <w:iCs/>
          <w:color w:val="666666"/>
        </w:rPr>
        <w:t xml:space="preserve">CONTRIBUIÇÕES À PREVIDÊNCIA SOCIAL</w:t>
      </w:r>
    </w:p>
    <w:p/>
    <w:p>
      <w:r>
        <w:rPr>
          <w:b/>
          <w:bCs/>
        </w:rPr>
        <w:t xml:space="preserve">Tribunal: </w:t>
      </w:r>
      <w:r>
        <w:t xml:space="preserve">STF</w:t>
      </w:r>
    </w:p>
    <w:p>
      <w:r>
        <w:rPr>
          <w:b/>
          <w:bCs/>
        </w:rPr>
        <w:t xml:space="preserve">Relator: </w:t>
      </w:r>
      <w:r>
        <w:t xml:space="preserve">RAFAEL MAYER</w:t>
      </w:r>
    </w:p>
    <w:p>
      <w:r>
        <w:rPr>
          <w:b/>
          <w:bCs/>
        </w:rPr>
        <w:t xml:space="preserve">Julgado em: </w:t>
      </w:r>
      <w:r>
        <w:t xml:space="preserve">07/04/1983</w:t>
      </w:r>
    </w:p>
    <w:p/>
    <w:p>
      <w:r>
        <w:t xml:space="preserve">PRAZO — TRINTA DIAS DA HOMOLOGAÇÃO DO LAUDO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O entendimento que se extrai do art. 529 do Código de Processo Penal é o de que, nos crimes de ação privada, mediante queixa do ofendido, se conta o prazo de decadência da intimação do despacho de homologação do laudo pericial, que servirá de fundamento à instauração da ação penal. A regra do art. 529 é excepcional, e, por isso, se sobrepõe à do art. 38, que é geral. - Negaram provimento ao recurso. Julgado em 08-04-1983 Revista Trimestral de Jurisprudência. Fevereiro, 1984. Vol. 107 - Pág. 599 NO MESMO SENTIDO: Rec. Hab. Corpus nº 57.352 - SP, STF, 1ª T., Relator: Ministro RAFAEL MAYER, ac. de 20-11-1979, in EMENTÁRIO FORENSE, nº 387 EMFOR 433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Nos crimes de ação penal privada, o entendimento que se extrai do art. 529 do Código de Processo Penal é que o prazo de decadência se conta da intimação do despacho de homologação do laudo pericial.</w:t>
      </w:r>
    </w:p>
    <w:p/>
    <w:p>
      <w:pPr>
        <w:pStyle w:val="Heading3"/>
      </w:pPr>
      <w:r>
        <w:rPr>
          <w:i/>
          <w:iCs/>
        </w:rPr>
        <w:t xml:space="preserve">Nota da redação</w:t>
      </w:r>
    </w:p>
    <w:p>
      <w:r>
        <w:rPr>
          <w:i/>
          <w:iCs/>
          <w:color w:val="666666"/>
        </w:rPr>
        <w:t xml:space="preserve">Revista Trimestral de Jurisprudência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2026-10-26T05:00:22.312Z</dcterms:created>
  <dcterms:modified xsi:type="dcterms:W3CDTF">2026-10-26T05:00:22.312Z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