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APROPRIAÇÃO INDÉBITA</w:t>
      </w:r>
    </w:p>
    <w:p>
      <w:r>
        <w:rPr>
          <w:i/>
          <w:iCs/>
          <w:color w:val="666666"/>
        </w:rPr>
        <w:t xml:space="preserve">CONTRIBUIÇÕES À PREVIDÊNCIA SOCIAL</w:t>
      </w:r>
    </w:p>
    <w:p/>
    <w:p>
      <w:r>
        <w:rPr>
          <w:b/>
          <w:bCs/>
        </w:rPr>
        <w:t xml:space="preserve">Recurso: </w:t>
      </w:r>
      <w:r>
        <w:t xml:space="preserve">re 1984</w:t>
      </w:r>
    </w:p>
    <w:p>
      <w:r>
        <w:rPr>
          <w:b/>
          <w:bCs/>
        </w:rPr>
        <w:t xml:space="preserve">Relator: </w:t>
      </w:r>
      <w:r>
        <w:t xml:space="preserve">IVO SELL</w:t>
      </w:r>
    </w:p>
    <w:p>
      <w:r>
        <w:rPr>
          <w:b/>
          <w:bCs/>
        </w:rPr>
        <w:t xml:space="preserve">Julgado em: </w:t>
      </w:r>
      <w:r>
        <w:t xml:space="preserve">06/08/1984</w:t>
      </w:r>
    </w:p>
    <w:p/>
    <w:p>
      <w:r>
        <w:t xml:space="preserve">CRIMINOSO PRIMÁRIO — SUBSTITUIÇÃO OU DIMINUIÇÃO DA PENA - SE É APLICÁVEL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É da lavra do eminente Des. MARCÍLIO MEDEIROS: "Furto de uso. Hipótese não configurada, posto não momentânea ou passageira a subtração da coisa. Não reposição na esfera patrimonial do dono" (JC 28/478). Não aplicável ao caso também, o art. 156, do Código Penal e isso porque se trata de furto qualificado. - É evidente que a "res furtiva" foi de valor considerável - porque um veículo Kombi não pode ser de pequeno valor - não modificando, por outro lado, em nada a circunstância de ter sido recuperada e devolvida a seu proprietário. Aliás é o seguinte o entendimento jurisprudencial desta Casa em caso de concurso de agentes e furto privilegiado: "Furto qualificado. Concurso de agentes. Desclassificação para furto privilegiado. Impossibilidade" (JC 27/402. Rel. Des. IVO SELL (JC 19/20, pág. 458). Julgado em 07-08-1984 Jurisprudência Catarinense, 4º Trimestre 1984 - Vol. 46 - Pág. 392 EMFOR 439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se tratando de furto qualificado (concurso de agentes), não se pode aplicar o privilégio do § 2º do art. 155 do Código Penal.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2026-10-26T02:34:00.438Z</dcterms:created>
  <dcterms:modified xsi:type="dcterms:W3CDTF">2026-10-26T02:34:00.438Z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