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Relator: </w:t>
      </w:r>
      <w:r>
        <w:t xml:space="preserve">IVO SELL</w:t>
      </w:r>
    </w:p>
    <w:p>
      <w:r>
        <w:rPr>
          <w:b/>
          <w:bCs/>
        </w:rPr>
        <w:t xml:space="preserve">Julgado em: </w:t>
      </w:r>
      <w:r>
        <w:t xml:space="preserve">06/08/1984</w:t>
      </w:r>
    </w:p>
    <w:p/>
    <w:p>
      <w:r>
        <w:t xml:space="preserve">CRIMINOSO PRIMÁRIO — SUBSTITUIÇÃO OU DIMINUIÇÃO DA PENA -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da lavra do eminente Des. MARCÍLIO MEDEIROS: "Furto de uso. Hipótese não configurada, posto não momentânea ou passageira a subtração da coisa. Não reposição na esfera patrimonial do dono" (JC 28/478). Não aplicável ao caso também, o art. 156, do Código Penal e isso porque se trata de furto qualificado. - É evidente que a "res furtiva" foi de valor considerável - porque um veículo Kombi não pode ser de pequeno valor - não modificando, por outro lado, em nada a circunstância de ter sido recuperada e devolvida a seu proprietário. Aliás é o seguinte o entendimento jurisprudencial desta Casa em caso de concurso de agentes e furto privilegiado: "Furto qualificado. Concurso de agentes. Desclassificação para furto privilegiado. Impossibilidade" (JC 27/402. Rel. Des. IVO SELL (JC 19/20, pág. 458). Julgado em 07-08-1984 Jurisprudência Catarinense, 4º Trimestre 1984 - Vol. 46 - Pág. 392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furto qualificado (concurso de agentes), não se pode aplicar o privilégio do § 2º do art. 155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2026-07-27T23:54:03.102Z</dcterms:created>
  <dcterms:modified xsi:type="dcterms:W3CDTF">2026-07-27T23:54:03.102Z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