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08/08/1983</w:t>
      </w:r>
    </w:p>
    <w:p/>
    <w:p>
      <w:r>
        <w:t xml:space="preserve">FALSIFICAÇÃO DE CARTEIRAS DE IDENTIDADE -
QUANDO SE DISTINGUE DO CONCURSO MATERIAL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concreto, inclino-me a entender que houve crime continuado, pelas condições de tempo, lugar e natureza do crime. Se em curto espaço de tempo, como ocorreu, ao invés de quatro tivesse o acusado, ora recorrente, falsificado 10 carteiras, a pena a lhe ser aplicada teria sido, considerando-se, tal como se deu, existência do concurso material, nada menos de trinta anos de reclusão, o que mostra a sem razão do C. Tribunal "a quo". - Entendo, assim, que cabe reconhecer-se em face das circunstâncias dos autos, o crime continuado e, na dosagem da pena, considerar-se o número de atos, todos em uma mesma conduta criminosa. - É de ver que, no caso da falsificação de cédulas de identidade, o bem juridicamente tutelado é a fé pública, não se verificando lesões patrimoniais individualizadas, como na hipótese, por exemplo, de roubos em ações autônomas, contra vítimas diversas, e que a jurisprudência desta Corte tem considerado como não podendo ser incluída no conceito de crime continuado. - ... Assim sobre a pena-base de 3 anos, acrescenta-se mais 15 meses pela continuação, tudo somando 4 anos e três meses de reclusão e multa de Cr$5.000,00 - É o meu voto. Julgado em 09-08-1983 Revista Trimestral de Jurisprudência. Vol. 108 - Pág. 1.234 N. da R.: O acórdão recorrido, ora reformado, optando pela tese do Concurso Material, fixava a pena em 12 anos de reclusão.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de se considerar o crime como continuado se o réu foi condenado por ter falsificado quatro carteiras de identidade, tendo-se que, pelas condições de tempo, lugar e natureza do crime, todas as ações se reuniram em uma mesma conduta criminosa, tendo-se as seguintes como continuação da primeira.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2026-07-28T00:25:12.745Z</dcterms:created>
  <dcterms:modified xsi:type="dcterms:W3CDTF">2026-07-28T00:25:12.745Z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