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APROPRIAÇÃO INDÉBITA</w:t>
      </w:r>
    </w:p>
    <w:p>
      <w:r>
        <w:rPr>
          <w:i/>
          <w:iCs/>
          <w:color w:val="666666"/>
        </w:rPr>
        <w:t xml:space="preserve">CONTRIBUIÇÕES À PREVIDÊNCIA SOCIAL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Julgado em: </w:t>
      </w:r>
      <w:r>
        <w:t xml:space="preserve">07/11/1983</w:t>
      </w:r>
    </w:p>
    <w:p/>
    <w:p>
      <w:r>
        <w:t xml:space="preserve">RODOVIA DE ALTA VELOCIDADE — TRAVESSIA POR PEDESTRE - RESPONSABILIDADE DESTE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Verifica-se pelo exame dos elementos constantes dos autos que a acusada, ao se deparar com o ciclista no meio da pista, reduziu a velocidade demonstrando cautela, não tendo podido evitar o acidente eis que a vítima resolveu, inesperadamente, completar a travessia da rodovia, não dando tempo à acusada para qualquer manobra que pudesse evitar a ocorrência. - Se houve com acerto o magistrado "a quo" ao absolver a ré, porque é sabido que nas rodovias de alta velocidade a responsabilidade da travessia se transfere ao pedestre a quem cabe tomar todas as cautelas para efetuá-la com êxito. - E neste sentido é a orientação jurisprudencial: "A "obligatio ad diligenciam" nas rodovias de alta velocidade se transfere ao pedestre, a quem cabe tomar as cautelas, especialmente quando efetua a travessia da pista" (JC 38/438). - Negou-se, assim, provimento ao recurso. Julgado em 08-11-1983 Jurisprudência Catarinense, 4º Trimestre, 1983 - Vol. XLII - Pág. 335 EMFOR 432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Nas rodovias de alta velocidade a responsabilidade da travessia cabe ao pedestre. - "Obligatio ad diligenciam".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2026-10-26T06:01:53.841Z</dcterms:created>
  <dcterms:modified xsi:type="dcterms:W3CDTF">2026-10-26T06:01:53.841Z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