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07/11/1983</w:t>
      </w:r>
    </w:p>
    <w:p/>
    <w:p>
      <w:r>
        <w:t xml:space="preserve">RODOVIA DE ALTA VELOCIDADE — TRAVESSIA POR PEDESTRE - RESPONSABILIDADE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pelo exame dos elementos constantes dos autos que a acusada, ao se deparar com o ciclista no meio da pista, reduziu a velocidade demonstrando cautela, não tendo podido evitar o acidente eis que a vítima resolveu, inesperadamente, completar a travessia da rodovia, não dando tempo à acusada para qualquer manobra que pudesse evitar a ocorrência. - Se houve com acerto o magistrado "a quo" ao absolver a ré, porque é sabido que nas rodovias de alta velocidade a responsabilidade da travessia se transfere ao pedestre a quem cabe tomar todas as cautelas para efetuá-la com êxito. - E neste sentido é a orientação jurisprudencial: "A "obligatio ad diligenciam" nas rodovias de alta velocidade se transfere ao pedestre, a quem cabe tomar as cautelas, especialmente quando efetua a travessia da pista" (JC 38/438). - Negou-se, assim, provimento ao recurso. Julgado em 08-11-1983 Jurisprudência Catarinense, 4º Trimestre, 1983 - Vol. XLII - Pág. 335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rodovias de alta velocidade a responsabilidade da travessia cabe ao pedestre. - "Obligatio ad diligenciam".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2026-07-28T00:17:24.518Z</dcterms:created>
  <dcterms:modified xsi:type="dcterms:W3CDTF">2026-07-28T00:17:24.518Z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