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10/02/1982</w:t>
      </w:r>
    </w:p>
    <w:p/>
    <w:p>
      <w:r>
        <w:t xml:space="preserve">CASOS EM QUE SE DEVE RECONHECER A EXISTÊNCIA DO CONCURSO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sabe, trava-se grande disputa, tanto na doutrina como na jurisprudência, quanto às hipóteses de estelionato e falsidade praticados pelo mesmo agente. Embora muitos admitam aí o concurso de crimes (material ou formal), a tendência hoje dominante é pela prevalência do estelionato, considerado absorvido por este o "crimen falsi". Se o objetivo do agente foi exclusivamente patrimonial, a falsificação terá servido somente como "meio" para a obtenção da vantagem ilícita. - A lei silencia a respeito, permitindo a disputa de soluções. Provavelmente numa próxima reforma penal, o legislador se pronunciará expressamente, pondo fim ao debate. O Código Penal de 1969, revogado antes mesmo de entrar em vigor, optava pelo concurso formal (art. 343). - Convém, nesta oportunidade, recordar a advertência de BETTIOL de que a aplicação dos princípios da consumação e da subsidiariedade decorre mais da justiça do que da lógica. Diz ele que "uma norma exclui a outra não porque isso seja determinado por rígido cânone de lógica, mas porque a aplicação de todas as normas concorrentes se chocaria com a necessidade prática de avaliação do fato. Conduziria a um conflito com as mais elementares exigências da justiça" (Direito Penal, parte "generale", 5ª ed., pág. 518). - Na presente hipótese, não é de ser acolhida a pretensão dos embargantes se o enquadramento acertado é aquele constante da sentença de primeira instância e da douta maioria do acórdão embargado. - Veja-se que o primeiro embargante falsificou, inicialmente, a assinatura da correntista para a requisição do talonário e depois, numa segunda operação, emitiu vários cheques também com assinatura falsa. - Veja-se, ainda, que as carteiras e documentos falsificados pelo mesmo acusado não foram utilizados só no levantamento das quantias na conta bancária, mas se destinavam também a outras finalidades. Disse ele... que fabricara uma carteira "fria" para R.P. (segundo embargante), pois este era um foragido da Justiça e precisava de um documento falso de identidade. E acrescenta que falsificara para ele igualmente uma carteira da Fundação Hospitalar do Distrito Federal e outra da Empresa Jornalística BN S/A, além de uma carteira nacional de habilitação (...). O segundo acusado confessa tais fatos e admite que os documentos falsificados eram necessários "para que pudesse transitar" (...). - Vê-se, pois, de um lado, que as falsificações iam mais além do que o estelionato narrado na denúncia e, de outro, que os acusados, pelo audacioso comportamento que tiveram, não merecem o tratamento privilegiado da absorção de um crime por outro. Impõe-se, sem dúvida, o reconhecimento do concurso material. - Pelo exposto, a conclusão a que ora se chega à da rejeição dos embargos, para ficar integralmente mantido o v. acórdão... Julgado em 11-02-1982 Revista dos Tribunais. Outubro, 1982 - Vol. 564 - Pág. 369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 admita, segundo a interpretação predominante, a absorção do "crimem falsi" pelo estelionato, tendo em vista o objetivo patrimonial do agente, é inegável, em alguns casos, o reconhecimento do concurso material. - Quando os crimes se distanciam no tempo, quando a falsidade serve para outras finalidade ou quando o agente, por seu comportamento audacioso, não merece o privilégio de uma só apenação, acertado será o cúmulo das penas.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2026-07-27T23:41:02.579Z</dcterms:created>
  <dcterms:modified xsi:type="dcterms:W3CDTF">2026-07-27T23:41:02.579Z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