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01/08/1983</w:t>
      </w:r>
    </w:p>
    <w:p/>
    <w:p>
      <w:r>
        <w:t xml:space="preserve">COISA APREENDIDA E DEVOLVIDA À VITIMA — AUSÊNCIA DE PREJUÍZO - SE A CIRCUNSTÂNCIA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proposição do venerável acórdão recorrido, para reconhecer a ocorrência de furto privilegiado, como se vê, assenta em que a "res" foi apreendida, não tendo a vítima sofrido prejuízo" (...). Ora, essa tese está em manifesto dissídio com os paradigmas invocados no recurso, onde ressaltado que o benefício legal pressupõe o pequeno valor da coisa e não a ausência do prejuízo à vítima, em virtude de apreensão da coisa furtada (RECr 93.010 - 2ª Turma, Relator o Min. DJACI FALCÃO). - O precedente referido é representativo de entendimento pacífico da Corte, tendo esta Turma julgado no mesmo sentido, em data recente, o RECr 96.677, com a seguinte ementa: (Furto. Valor da "res furtiva". Prejuízo. Código Penal, art. 155, § 2º, Pequeno valor da coisa para o efeito de privilegiar o furto nos termos do parágrafo 2º do art. 155 do Código Penal, deve ser o resultante da estimação no momento da comunicação do crime, não cabendo relativizá-lo pela ulterior reparação do ano, coacta ou consentida. Recurso extraordinário conhecido e provido. - Impõe-se, portanto, o conhecimento do recurso pelo dissídio demonstrado. Entretanto, em julgando a causa, justo é negar-lhe provimento, na conformidade da correta sugestão da douta Procuradoria - Geral da República. Com efeito, a coisa furtada, no momento do delito, em pouco ultrapassava o valor do salário-mínimo vigente, sendo de valor inferior ao nível decretado em menos de um mês após o fato. É de ter-se, portanto, como de pequeno valor a coisa furtada, justificando o privilégio do art. 155, § 2º do Código Penal, rec onhecido pelo acórdão recorrido. - Conheço, pois, e nego provimento. Julgado em 02-08-1983 Revista Trimestral de Jurisprudência. Dezembro, 1983 - Vol. 106 - Pág 1.232 EMFOR 431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artigo 155, § 2º do Código Penal. - A ausência de prejuízo à vítima, em virtude da apreensão e restituição da coisa furtada, não é circunstância caracterizadora do furto privilegiado, senão o pequeno valor da coisa, estimado no momento da consumação do delito, assim entendido aquele que não ultrapassa o salário-mínimo vigente.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2026-07-28T04:09:09.182Z</dcterms:created>
  <dcterms:modified xsi:type="dcterms:W3CDTF">2026-07-28T04:09:09.182Z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