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Julgado em: </w:t>
      </w:r>
      <w:r>
        <w:t xml:space="preserve">21/02/1983</w:t>
      </w:r>
    </w:p>
    <w:p/>
    <w:p>
      <w:r>
        <w:t xml:space="preserve">TRANSCURSO DE CINCO ANOS APÓS O BENEFÍCIO — QUANDO NÃO DEVE SER EXIGIDO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Estou de inteiro acordo com o lúcido parecer da douta Procuradoria-Geral da República que examinou a questão bem atenta à diferença que deve ser compreendida, no tocante à reabilitação, quando, no caso, beneficiou-se o réu da anistia. - Em relação a um dos crimes de que foi acusado, deu-se a extinção da punibilidade em 09-05-74, pelo que o período necessário à reabilitação já transcorreu por inteiro. - Quanto ao segundo evento, pelo qual passou a cumprir pena desde 09-05-74, foi ele anistiado. Ora, como salienta o parecer da Procuradoria-Geral da República: "... significando a anistia o completo esquecimento do fato-infração penal, salvo no tocante unicamente à responsabilidade de cunho civil, não é coerente que, anistiado por fato delituoso perpetrado no ano de 1973 (...), mantenha-se repercutindo o que a lei manda esquecer, para obstar a reabilitação criminal em seu conhecimento". - Entretanto, é de ver que igualmente tem razão a douta Procuradoria-Geral da República, quando diz (...): "Mas consideramos não suficientemente instruído o pedido. É que ao juízo de procedência da reabilitação impõe a norma processual a prova de que o reabilitado revele a aptidão contínua à sadia convivência comunitária (alínea do artigo 652, do CPPM). No caso de A. D. J., contemporaneamente ao pedido que é o q ue é necessário, só há simples Declaração Funcional de que é contratado da Câmara dos Deputados (...). Impõe-se demonstre como foi sua conduta carcerária até 1979; avaliação de sua conduta pessoal e funcional pela chefia imediata; demonstração da impossibilidade de ressarcir o dano emergente do ilícito perpetrado." - Assim, possibilitada a volta do recorrente à busca da reabilitação, desde que traga os documentos lembrados no parecer, será seu pedido reexaminado. - Pelo exposto, nego provimento ao recurso, mas possibilitando-se vote o pedido a ser renovado. - É o meu voto. Julgado em 22-02-1983 Revista Trimestral de Jurisprudência. Novembro, 1983 - Vol. 106 - Pág. 477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paciente foi anistiado do crime que cometeu - e se este, assim, deve cair no completo esquecimento - não é de se exigir, para que se lhe conceda a reabilitação, o transcurso de cinco anos após o benefício. - Deve ser considerado bastante que durante o prazo legal (artigo 651 do Código de Processo Penal Militar) contado da data da sua prisão - e não de sua libertação - comprove, em substituição ao disposto nas letras "a" e "b" do artigo 652 do mesmo Código, ter tido bom comportamento carcerário, e atenda às demais exigências daquele mesmo artigo (letras "c" e "d").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2026-07-28T00:51:06.572Z</dcterms:created>
  <dcterms:modified xsi:type="dcterms:W3CDTF">2026-07-28T00:51:06.572Z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