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TRIBUNAL DE JUSTIÇA</w:t>
      </w:r>
    </w:p>
    <w:p/>
    <w:p>
      <w:r>
        <w:rPr>
          <w:b/>
          <w:bCs/>
        </w:rPr>
        <w:t xml:space="preserve">Julgado em: </w:t>
      </w:r>
      <w:r>
        <w:t xml:space="preserve">17/03/1983</w:t>
      </w:r>
    </w:p>
    <w:p/>
    <w:p>
      <w:r>
        <w:t xml:space="preserve">COEXISTÊNCIA — SUJEIÇÃO DO INFRATOR A DUPLO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 leitura da denúncia e do despacho que a recebeu se vê que imputa ao recorrente, não só o fato de deixar de efetuar, deliberadamente, o pagamento dos duodécimos referentes aos exercícios de 1979, 1980 e 1981, à Câmara Municipal de Colina, como o de haver dado ao respectivo montante destinação diversa da estabelecida na lei orçamentária. - No mencionado despacho afirmou o Dr. Juiz de Direito: "Vê-se, pois, que o denunciado, ao que consta dos autos, deliberadamente deixou de efetuar o pagamento dos duodécimos devidos à Câmara Municipal de Colina, dando ao respectivo montante destinação diversa daquela estabelecida na peça orçamentária, pelo que cometeu, em tese, os crimes que lhe são atribuídos. Se o denunciado se houve, ou não, com dolo é indagação que só poderá ser feita a final, após a tramitação regular do feito quando, então, se poderá positivar, ou não, a sua responsabilidade criminal. Isto posto, recebo a denúncia oferecida..., dando-o como incurso no art. 1º, incisos III e XIV, do Decreto-lei nº 201/67, c.c. o art. 51, § 2º, do Cód. Penal." (...). - Não há dúvida de que, em tese, as responsabilidades penal e administrativa podem coexistir, sujeitando-se o infrator ao duplo processo, um criminal, e outro perante a Câmara de Vereadores, em razão da infração político-administrativa. - O acórdão recorrido, salientou a existência de fatos que guardam tipicidade penal, demonstrando a improcedência da alegada falta de justa causa. - Se procede ou não a denúncia, é matéria a ser apreciada após regular instrução da ação. - Diante do exposto e de acordo com o parecer da douta Procuradoria-Geral da República, nego provimento ao recurso. Julgado em 18-03-1983 Revista Trimestral de Jurisprudência. Novembro, 1983 - Vol. 106 - Pág. 548 EMFO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responsabilidades penal e administrativa podem coexistir, sujeitando-se o infrator a duplo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2026-10-26T07:05:29.859Z</dcterms:created>
  <dcterms:modified xsi:type="dcterms:W3CDTF">2026-10-26T07:05:29.859Z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