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Julgado em: </w:t>
      </w:r>
      <w:r>
        <w:t xml:space="preserve">12/12/1999</w:t>
      </w:r>
    </w:p>
    <w:p/>
    <w:p>
      <w:r>
        <w:t xml:space="preserve">CRIMES COMETIDOS EM CONCURSO — MATERIAL, FORMAL OU EM CONTINUIDADE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do entendimento pacífico dos tribunais que, sendo o réu primário e de bons antecedentes, a pena-base deve tender sempre para o mínimo da cominação legal, especialmente se as demais circunstâncias previstas no artigo 59 do Código Penal lhe são favoráveis. No caso, o peticionário era primário, tanto que tal circunstância foi reconhecida na sentença que o condenou. Seus antecedentes, embora gravados com uma mácula (fls.), não são dos piores, e as demais circunstâncias, elencadas no artigo 59 do Código Penal, não lhe desabonam o passado. - Nestas circunstâncias, a pena-base de cinco anos de reclusão é por demais exacerbada. Mesmo considerando as consequências graves do delito de tráfico, a gravidade revelada na ação da mercancia de drogas e o perigo social dessa conduta típica, não há como se justificar tal acréscimo além do mínimo. - Assim, acolhendo na íntegra o parecer ministerial, defiro o presente pedido revisional para reduzir a pena-base imposta ao peticionário José Carlos de Paula, para 03 (três) anos de reclusão, tornando-a definitiva, dada a ausência de demais causas modificadoras, mantida no mais a r. sentença monocrática. O regime há de ser o aberto, porquanto o crime foi praticado anteriormente à Lei nº 8.072/90, dos crimes hediondos. Julgado em 13-12-1999 Jurisprudência Mineira - Vol. 151 Janeiro a Março de 2000 - Pág. 111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suspensão do processo não é aplicável em relação às infrações penais cometidas em concurso material, concurso formal ou continuidade delitiva, quando a pena mínima cominada, seja pelo somatório, seja pela incidência da majorante, ultrapassar o limite de um (01) ano. Referências Legislativas: - Decreto-Lei nº 2.848/1940, art. 69 e art. 70 - CÓDIGO PENAL - Lei nº 9.099/95, art. 89 - Lei dos Juizados Especiais Cíveis e Criminais Precedentes: RESP - 196.049 - SP 1998/87193-4 - DECISÃO: 27/04/1999 DJ de 31/05/1999 - pág. 182 ERESP - 164.326 - SP 1999/497-3 - DECISÃO: 12/05/1999 DJ de 31/05/1999 - pág. 78 RCJ - Vol.: 87 - pág. 156 RSTJ - Vol.: 121 - pág. 419 RHC - 8.331 - SP 1999/6744-4 - DECISÃO: 25/03/1999 DJ de 17/05/1999 - pág. 220 HC - 7.560 - PR 1998/37623-2 - DECISÃO: 14/12/1999 DJ de 12/04/1999 - pág. 196 REPDJ - de 08/03/2000 - pág. 162 LEXSTJ - Vol.: 121 - Setembro de 1999, pág. 271 RHC - 7.779 - SP 1998/51741-3 - DECISÃO: 25/08/1998 DJ de 13/10/1998 - pág. 143 HC - 7.583 - SP 1998/39341-2 - DECISÃO: 15/09/1998 DJ de 13/10/1998 - pág. 140 HC - 5.141 - SP 1996/63642-7 - DECISÃO: 09/04/1997 DJ de 02/06/1997 - pág. 23.856 LEXSTJ - Vol.: 98 - Outubro de 1997, pág. 309 Data da decisão: 11/12/2000 DJ de 05/02/2001, pág. 157 EMENTA: - Sendo o réu primário e de bons antecedentes, a pena-base deve tender sempre para o mínimo da cominação legal, especialmente se as demais circunstâncias previstas no artigo 59 do Código Penal são favoráveis ao acusado, admitindo-se a redução da reprimenda em sede de revisão criminal, se tiver sido fixada muito além do referido parâmetro, bem como quando for manifestamente injusta ou derivada de erro técnico.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2026-10-26T04:36:59.423Z</dcterms:created>
  <dcterms:modified xsi:type="dcterms:W3CDTF">2026-10-26T04:36:59.423Z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