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p>
      <w:r>
        <w:t xml:space="preserve">ARTS. 1º E 2º DA LEI 9.034/95 — ALTERA</w:t>
      </w:r>
    </w:p>
    <w:p/>
    <w:p>
      <w:pPr>
        <w:pStyle w:val="Heading2"/>
      </w:pPr>
      <w:r>
        <w:rPr>
          <w:b/>
          <w:bCs/>
        </w:rPr>
        <w:t xml:space="preserve">Ementa</w:t>
      </w:r>
    </w:p>
    <w:p>
      <w:r>
        <w:t xml:space="preserve">LEI Nº 10.217, DE 11 DE ABRIL DE 2001 Altera os arts. 1º e 2º da Lei nº 9.034, de 3 de maio de 1995, que dispõe sobre a utilização de meios operacionais para a prevenção e repressão de ações praticadas por organizações criminosas. O PRESIDENTE DA REPÚBLICA Faço saber que o Congresso Nacional decreta e eu sanciono a seguinte Lei: Art. 1º Os arts. 1º e 2º da Lei nº 9.034, de 3 de maio de 1995, passam a vigorar com as seguintes alterações: "Art. 1º Esta Lei define e regula meios de prova e procedimentos investigatórios que versem sobre ilícitos decorrentes de ações praticadas por quadrilha ou bando ou organizações ou associações criminosas de qualquer tipo." (NR) "Art. 2º Em qualquer fase de persecução criminal são permitidos, sem prejuízo dos já previstos em lei, os seguintes procedimentos de investigação e formação de provas: (NR) ...................................................................................................... IV - a captação e a interceptação ambiental de sinais eletromagnéticos, óticos ou acústicos, e o seu registro e análise, mediante circunstanciada autorização judicial; V - infiltração por agentes de polícia ou de inteligência, em tarefas de investigação, constituída pelos órgãos especializados pertinentes, mediante circunstanciada autorização judicial. Parágrafo único. A autorização judicial será estritamente sigilosa e permanecerá nesta condição enquanto perdurar a infiltração." Art. 2º Esta Lei entra em vigor na data de sua publicação. Brasília, 11 de abril de 2001; 180º da Independência e 113º da República. FERNANDO HENRIQUE CARDOSO José Gregori Alberto Mendes Cardoso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2026-07-28T00:11:27.505Z</dcterms:created>
  <dcterms:modified xsi:type="dcterms:W3CDTF">2026-07-28T00:11:27.505Z</dcterms:modified>
</cp:coreProperties>
</file>

<file path=docProps/custom.xml><?xml version="1.0" encoding="utf-8"?>
<Properties xmlns="http://schemas.openxmlformats.org/officeDocument/2006/custom-properties" xmlns:vt="http://schemas.openxmlformats.org/officeDocument/2006/docPropsVTypes"/>
</file>