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23/09/1982</w:t>
      </w:r>
    </w:p>
    <w:p/>
    <w:p>
      <w:r>
        <w:t xml:space="preserve">NECESSIDADE DE SER FEITA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dos dados, a sentença absolutória do paciente está datada de 01-08-1980 e, com efeito, não há notícia de que nessa data estivesse ele preso. Entretanto, quanto ao recebimento da apelação do Ministério Público (15-08-80) e da subsequente intimação do defensor dativo para contra-arrazoar (18-08-80) encontrava-se preso, pois assim desde o dia 13-08-80. - Ora, se o réu está preso, cabe-lhe, nos termos expressos da lei, ser intimado pessoalmente da sentença criminal, que lhe diz respeito, sem distinção de condenatória ou absolutória (art. 392, I do CPP). Diante de tal preceituação, é corrente o entendimento jurisprudencial de que a intimação do defensor dativo não supre a falta daquela, ambas devendo ser feitas. - Pela mesma razão e na mesma circunstância, deve o réu preso ser intimado da apelação da acusação, para que lhe seja facultado exercitar os seus meios de defesa. Em atenção a esse exercitamento da defesa é que os precedentes da Corte entendem-se cerceado não ter sido o réu intimado da apelação do Ministério Público, não tendo por isso o seu patrono constituído podido oferecer contra-razões, como se vê no HC 55.723 e 56.351, relatados pelo eminente Ministro MOREIRA ALVES (RTJ 91/458). Configurado o cerceamento de defesa, concedo a ordem para que, afastado por nulo o venerável acórdão, intime-se o paciente dos termos da apelação do Ministério Público. Julgado em 24-09-1982 Revista Trimestral de Jurisprudência. Agosto. 1983 - Vol. 105 - Pág. 537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preso o réu, cabe-lhe ser intimado pessoalmente, não suprindo a falta a intimação do defensor dativo.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2026-07-27T23:20:39.367Z</dcterms:created>
  <dcterms:modified xsi:type="dcterms:W3CDTF">2026-07-27T23:20:39.367Z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