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30/08/1982</w:t>
      </w:r>
    </w:p>
    <w:p/>
    <w:p>
      <w:r>
        <w:t xml:space="preserve">ELEMENTO SUBJETIVO — NECESSIDADE PARA A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Juiz sentenciante, embora não houvesse, nos autos, exame de dosagem alcóolica, concluiu, com base em uniforme prova testemunhal, que o apelante se achava, por ocasião dos fatos, em visível estado de embriaguez. - Tal posicionamento enseja, desde logo, algumas questões. Seria sustentável a tese de que o tipo do art. 32 do CP se exaure na objetividade da ação física posta em prática pelo agente? Ou, para o preenchimento do tipo, seria imprescindível que tal conduta física estivesse iluminada pelo "animus" de que o agente se achava possuído? - A ação física própria do delito de resistência deve estar sempre acompanhada de um determinado coeficiente subjetivo, sem o qual perde todo o seu significado ilícito. Os atos de resistência sem conexão com o estado de consciência do agente de que se opõe a funcionário público ou a pessoa que a este preste auxílio nada representante sob o enfoque da tipicidade. - Opor-se já transmite a idéia de "não querer", de um "não aderir", de um "fazer oposição", o que já evidencia, no agente, uma manifestação conduzida pela vontade, uma postura psíquica apropriada. Além disso, o "opor-se" deve referir-se necessariamente à execução de ordem legal, o que demonstra, de pronto, que o agente deve estar em condições psíquicas de avaliar a legalidade da ordem que, contra ele, o funcionário público põe em prática. A impossibilidade de formação desse estado de consciência impede que a figura criminosa se concretize tipicamente. - A embriaguez é incompatível com tal estado anímico. Não se trata, aqui, de examinar a imputabilidade do agente, mas a tipicidade de seu comportamento, de forma que nenhuma incidência tem, no caso, a regra do art. 24, II, do CP. - MANZINI ensina que a embriaguez, mesmo incompleta, importa "efeitos nocivos em relação aos processos psíquicos mais elevados, de forma que os poderes de inibição e de autocrítica, a modéstia, os freios, o pudor, a prudência diminuem ou ficam suspensos" ("Diritto Penale Italiano", vol. II/140). - Ora, se a embriaguez, ainda que incompleta, é paralisadora dos processos psíquicos mais elevados, é evidente que não se harmoniza com o estado de consciência estatuído, na própria tipicidade, para a concretização da resistência. A intoxicação alcoólica obsta a que o agente tenha condições de aferir a legalidade ou não da ordem contra ele emanada e, portanto, de opor-se à sua execução. - A jurisprudência não é infensa a esta orientação. Já se decidiu que "o estado de embriaguez despoja o agente da plena integridade de suas faculdades mentais, exonerando, por tal forma, a intenção certa de ofender" ("RT" 427/422). E no Tribunal de Alçada Criminal, sendo relator o Juiz REMO PASQUALINI: "A embriaguez do agente não permite atribuir-se-lhe intenção dolosa, sem a qual não se caracteriza o crime de resistência" ("Julgados do TACrimSP" 56/286). - Em conseqüência, deve o recorrente ser absolvido. Julgado em 31-08-1982 Revista dos Tribunais. Dezembro, 1982 - Vol. 566 - Pág. 321. EMFOR 442 EMENTA: - Se o autor do roubo foi detido tão logo o praticou, não chegando a coisa subtraída a sair da esfera de vigilância da vítima e nem tendo ele sua posse pacífica, não há cogitar de delito consumado, e sim tentado. RESUMO DO ACÓRDÃO: - O fato criminoso não atingiu, contudo, a fase consumativa. O recorrente foi detido tão logo saía da unidade da FEBEM por uma viatura policial que passava pelas imediações e que pouco antes recebera comunicação para dirigir-se ao local. Deste modo não chegou ele a sair da esfera de vigilância da vítima, nem teve a detenção pacífica da coisa roubada. - Nessa situação concreta, só há cogitar de roubo agravado, na sua forma tentada. - É exato que já ponderável corrente jurisprudencial que considera ocorrer a consumação do delito de roubo no momento em que o agente, mediante violência ou grave ameaça, se apodera da coisa, pouco importando se, após a subtração, é perseguido e preso com a res ("RTJ" 74/650, "RT" 453/443, "Julgados do TACrimSP" 55/299, 45/414 e 42/154). - Mas não é esta nem a posição da doutrina brasileira, nem a jurisprudência dominante. - Abordando a matéria, NÉLSON HUNGRIA observou que o momento consumativo do roubo próprio é o da subtração patrimonial, de modo que, "se, após o emprego da violência pessoal, não puder o agente, por circunstâncias alheias à sua vontade, executar a subtração, mesmo o ato inicial da 'apprehensio rei', o que se tem a reconhecer é a simples tentativa" ("Comentários ao Código Penal", vol. VII/58, 1955)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física própria do delito de resistência deve estar sempre acompanhada de determinado coeficiente subjetivo, sem o qual perde todo seu significado ilícito. - Os atos de resistência sem conexão com o estado de consciência do agente de que se opõe ao funcionário público ou a pessoa que a este preste auxílio nada representam sob o enfoque da tipicidade.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2026-07-28T04:20:31.693Z</dcterms:created>
  <dcterms:modified xsi:type="dcterms:W3CDTF">2026-07-28T04:20:31.693Z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