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02/10/1983</w:t>
      </w:r>
    </w:p>
    <w:p/>
    <w:p>
      <w:r>
        <w:t xml:space="preserve">FALTA DE CURADOR NA FASE JUDICIAL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preliminar é de inteira procedência. Embora menor, não contou a ré com a assistência de um curador, nem no interrogatório, como se disse, nem no sumário, realizado este só com a presença do advogado constituído. - Ao julgar o RHC 59.078, decidiu o colendo STP ser necessária a assistência de curador ao réu menor "em todos os atos da instrução, não suprindo essa exigência o comparecimento de defensor constituído pelo próprio réu" (DJU, 02-10-81, P. 9.774). A mesma conclusão se vê no acórdão proferido por aquela Corte no RE Cr. 95.558 (RTJ, 102/1.155). - Na verdade, a exigência legal de proporcionar ampla garantia ao réu menor vem sendo observada com rigor, pela jurisprudência. - Assim, acolhendo-se a preliminar, decreta-se a nulidade do processo a partir do interrogatório, inclusive... Julgado em 03-10-1983 Arquivo do Ementário Forense. TJ/1.206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 nulidade, se ao réu menor de 21 anos não foi dado curador na fase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2026-07-27T22:59:40.393Z</dcterms:created>
  <dcterms:modified xsi:type="dcterms:W3CDTF">2026-07-27T22:59:40.393Z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