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/>
    <w:p>
      <w:r>
        <w:t xml:space="preserve">SE É CONDIÇÃO INDISPENSÁVEL NA AÇÃO DIRETA DE DIVÓRCIO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Quanto à partilha de bens, a matéria deve ser remetida ao juízo sucessivo da execução. - Cuidando-se de ação direta de Divórcio a partilha de bens do casal deve ser decidida na fase de execução, conforme já decidiram interativamente os tribunais brasileiros (RT 575/133), e colacionados por YUSSEF SAID CAHALI, em sua obra citada. - Aliás, do mesmo CAHALI é a lição que tem sido adotada pela a jurisprudência no sentido de que "na ação de divórcio, a sentença de desconstituição do vínculo nada disporá a respeito, uma vez que a partilha é remetida ao juízo da execução; não havendo acordo, serão observadas as disposições referentes ao inventário e à partilha de direito sucessório, no que foram aplicáveis" (ob cit., 1978, pág. 377). Ac. de 20-05-1992 Arquivo do EMFOR - TJ/2.309 EMFOR 533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Cuidando-se de ação direta de Divórcio a partilha de bens do casal deve ser decidida na fase de execução, conforme já decidiram interativamente os tribunais brasileiros. (Trecho do Acórdão).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2026-10-26T03:43:23.919Z</dcterms:created>
  <dcterms:modified xsi:type="dcterms:W3CDTF">2026-10-26T03:43:23.919Z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