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Recurso: </w:t>
      </w:r>
      <w:r>
        <w:t xml:space="preserve">RE 82.909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06/04/1981</w:t>
      </w:r>
    </w:p>
    <w:p/>
    <w:p>
      <w:r>
        <w:t xml:space="preserve">DIVERSOS PACIENTES E MESMOS ADVOGADOS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casos como o presente, em que os pacientes são vários e têm os mesmos advogados por eles constituídos, é bastante, para a regularidade da intimação, a indicação do nome do primeiro deles, seguido da expressão "outro" ou "outros", uma vez que - à semelhança do que ocorre com os vários advogados da parte (ou das partes, se forem comuns a todas) - não podem eles deixar de saber da existência dessa pluralidade, e devem conhecer o nome do que o encabeça. - Por isso mesmo, como já salientei, o próprio STF, em feitos criminais ou civis, indiferentemente, consigna, nas intimações em que os litisconsortes têm os mesmos patronos apenas o nome do primeiro, seguido da expressão "outro" ou "outros", conforme a hipótese (assim, por exemplo, no RHC 56.344 e no HC 56.405, publicados na RTJ 87, págs. 832 e 834, respectivamente). - E a Primeira Turma desta Corte, no RE 82.909, relator o Sr. Ministro SOARES MUÑHOZ, já decidiu em matéria cível: "Constando da publicação intimatória o nome do primeiro de vários litisconsortes nos autos e com os mesmos mandatários judiciais, com o acréscimo da expressão "e outros", fez-se suficiente identificação da parte, assim ficando cumprida a regra do art. 236, § 1º, do Estatuto Processual Civil". - E - note-se - na publicação desse mesmo acórdão desta Corte figuram, como recorrentes, A.G.P. "e outros" (RTJ 87/910). - Em face do exposto, e tendo em vista que a republicação de intimação que não se justifica não reabre prazo, não conheço, por intempestivo, do presente recurso. Julgado em 07-04-1981 Revista Trimestral de Jurisprudência. Dezembro, 1982 - Vol. 102 - Pág. 957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são vários os pacientes, tendo eles constituído os mesmos advogados, é suficiente, para identificar aqueles, a publicação de intimação de que conste o nome do primeiro seguido, conforme o caso, da expressão "e outro" ou "e outros".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2026-10-26T04:39:24.993Z</dcterms:created>
  <dcterms:modified xsi:type="dcterms:W3CDTF">2026-10-26T04:39:24.993Z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