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16/12/1981</w:t>
      </w:r>
    </w:p>
    <w:p/>
    <w:p>
      <w:r>
        <w:t xml:space="preserve">PRECEITO CONSTITUCIONAL — SE É APLICÁVEL AOS PRAÇAS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não há a alegada ofensa aos §§ 2º e 3º do artigo 93 da Constituição Federal. - Com efeito, embora neles se encontre a expressão "militar", esta, em decorrência da interpretação sistemática que se impõe, se acha empregada para designar apenas os oficiais e não as praças. Se o § 2º do referido artigo 93 estabelece garantia apenas no tocante à perda de posto e de patente do oficial, se o § 3º manda submeter ao julgamento previsto naquele - julgamento que se restringe a oficial - o militar condenado por tribunal civil ou militar a pena restritiva da liberdade individual superior a dois anos, é evidente que a expressão militar aí utilizada diz respeito apenas àqueles que gozam da prerrogativa do § 2º, ou seja, os oficiais. O § 3º não é regra de extensão a praças da norma contida no § 2º, mas traduz somente o princípio - diversamente do que ocorria em face da Constituição de 1967 - de que a perda do posto e da patente do oficial não resulta da sentença condenatória, mas, sim, da decisão posterior de indignidade ao oficialato ou de incompatibilidade com ele. Como salienta PONTES DE MIRANDA ("Comentários à Constituição de 1967 com a Emenda nº I, de 1969", tomo III, 2ª ed., 2ª tiragem, pág. 401, Revista dos Tribunais, São Paulo, 1973). "Tem-se de atender a que o texto de 1967 foi modificado pela Emenda Constitucional nº 1, de 1969. No texto de 1967 dizia-se que 'o oficial das forças armadas somente perderá o posto e a patente por sentença condenatória, passada em julgado, restritiva da liberdade individual por mais de dois anos'. A Emenda Constitucional nº 1 afastou a eficácia sentencial de perda do posto e da patente, de modo que a perda não ocorre enquanto não o julga o Tribunal permanente, em tempo de guerra. Em conseqüência da alteração, a eficácia constitutiva negativa, que é perda do posto e da patente, não resulta da sentença condenatória, mas sim da declaração pelo tribunal militar. Mesmo se a condenação foi por tribunal militar. O que se há de frisar é que se protraiu a perda do posto e da patente, a despeito do trânsito em julgado da sentença condenatória." - Correta, portanto, a interpretação adotada pelo acórdão recorrido. - Em face do exposto,... , não conheço do presente recurso extraordinário. Julgado em 17-12-1981 Revista Trimestral de Jurisprudência. Dezembro, 1982 - Vol. 102 - Pág. 1.059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"militar" utilizada no § 3º do artigo 93 da Constituição Federal se adstringe a oficiais, não abarcando as praças.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2026-10-26T04:41:16.097Z</dcterms:created>
  <dcterms:modified xsi:type="dcterms:W3CDTF">2026-10-26T04:41:16.097Z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