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12/12/1982</w:t>
      </w:r>
    </w:p>
    <w:p/>
    <w:p>
      <w:r>
        <w:t xml:space="preserve">CO-AUTORIA — QUANDO OCORRE O CONCURSO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Labora ... em erro o Dr. Juiz ao ver configurado na hipótese também o crime do art. 14. Como vêm esclarecendo os tribunais, normalmente, não se configuram os crimes dos arts. 12 e 14, pois a atuação conjunta de dois ou mais agentes somente enseja a aplicação da qualificadora do art. 18, III, da Lei 6.368. - Ainda recentemente, o egrégio Tribunal de Alçada paulista, em brilhante acórdão, mostrou que associar-se para traficar não é a mesma coisa que co-participar do tráfico. E resumiu, na ementa: "Não há como erigir-se qualquer co-autoria em crime de associação para fins de tráfico de entorpecente. A figura criminosa prevista no art. 14 da Lei 6.368/76 é excepcional e reservada aos casos absolutamente identificáveis como tal" Ac. de 05-10-78, Rev. Trib. 527/368. - Nessas condições dá-se provimento ao recurso para, capitulado o crime no art. 12 c/c 18. III da Lei de Entorpecentes, reduzir a pena imposta ao mínimo legal... Julgado em 13-12-1982 Arquivo do Ementário Forense. TJ/1.167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em casos excepcionais é possível o concurso de crimes dos arts. 12 e 14 da Lei 6.368/76.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2026-07-28T01:58:35.628Z</dcterms:created>
  <dcterms:modified xsi:type="dcterms:W3CDTF">2026-07-28T01:58:35.628Z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