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MINISTÉRIO PÚBLICO</w:t>
      </w:r>
    </w:p>
    <w:p>
      <w:r>
        <w:rPr>
          <w:i/>
          <w:iCs/>
          <w:color w:val="666666"/>
        </w:rPr>
        <w:t xml:space="preserve">RECURSO EM SENTIDO ESTRITO</w:t>
      </w:r>
    </w:p>
    <w:p/>
    <w:p>
      <w:r>
        <w:rPr>
          <w:b/>
          <w:bCs/>
        </w:rPr>
        <w:t xml:space="preserve">Julgado em: </w:t>
      </w:r>
      <w:r>
        <w:t xml:space="preserve">08/03/1982</w:t>
      </w:r>
    </w:p>
    <w:p/>
    <w:p>
      <w:r>
        <w:t xml:space="preserve">MANUTENÇÃO, REVOGAÇÃO OU DECRETAÇÃO — FUNDAMENTAÇÃO DA SENTENÇA - OBRIGATORIEDADE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Entendo que o § 2º do art. 408 do CPP atribui ao Juiz uma faculdade. Ao decretar a pronúncia do réu, poderá o Juiz revogar a prisão a que esteja submetido, em razão de flagrante ou de prisão preventiva, ou simplesmente deixar de decretá-la, se responder solto. - Em qualquer caso, porém, para que o faça, será condição imprescindível seja o réu primário e de bons antecedentes. Todavia essa condição não é suficiente para a soltura obrigatória do réu, pois mesmo ocorrente, motivos outros podem opor-se à concessão da liberdade provisória, como aqueles que justificam a custódia preventiva, no sentido de manter a que foi precedentemente determinada, ou de estabelecê-la a partir da sentença de pronúncia. - Quer venha a manter a prisão, quer a revogue, quer a dispense ou decrete, e justo porque é faculdade e não arbítrio, terá o Juiz do pronunciamento de fundamentar a sua decisão. - Cuido, "data venia", inconfundíveis a disciplina do art. 594. e a do art. 408, § 2º do CPP. Todavia, soa-me como visão unilateral da segunda preceituação exigir-se motivação para que o réu seja liberado, e dispensá-la quando tenha de ser preso, sob color de que a custódia é consequência necessária da pronúncia. Aqui, na verdade, maior é a exigência de fundamentar, estando em causa a liberdade do indivíduo. - Porque a sentença de pronúncia não ofereceu a mínima razão para decretar a prisão, essa prisão assim imotivada é decerto ilegal, face ao art. 408, § 2º do CPP, justificando o provimento do recurso para a concessão do "habeas corpus". Julgado em 09-03-1982 Revista Trimestral de Jurisprudência. Janeiro, 1983 - Vol. 103 - Pág. 129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Quer mantenha ou revogue a prisão anteriormente decretada, quer, estando o réu solto, venha a decretá-la ou dispense de fazê-lo, a sentença de pronúncia deve motivar tal ou qual decisão, tendo em vista os termos do art. 408, §§ 1º e 2º do CPP, sob pena de ilegalidade.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2026-10-26T03:52:53.520Z</dcterms:created>
  <dcterms:modified xsi:type="dcterms:W3CDTF">2026-10-26T03:52:53.520Z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