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PB</w:t>
      </w:r>
    </w:p>
    <w:p>
      <w:r>
        <w:rPr>
          <w:i/>
          <w:iCs/>
          <w:color w:val="666666"/>
        </w:rPr>
        <w:t xml:space="preserve">COMPETÊNCIA</w:t>
      </w:r>
    </w:p>
    <w:p/>
    <w:p/>
    <w:p>
      <w:r>
        <w:t xml:space="preserve">AÇÃO PENAL CONTRA ESTE — TRIBUNAL DE JUSTIÇA DO ESTADO A QUE PERTENÇA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visto no relatório, trata-se de ação penal instaurada para apuração de crime perpetrado por Deputado Estadual do Espírito Santo contra a honra de Deputado Federal daquele mesmo Estado. - Como de comum sabença, o processo e julgamento de crime comum, cometido por Deputado Estadual, é de competência do Tribunal de Justiça do Estado de origem. - A competência do Tribunal Regional Federal, conforme disposto no art. 108, I, a da Constituição Federal limita-se ao julgamento de Juízes Federais da área de sua jurisdição e de membros do Ministério Público da União, nos crimes comuns e de responsabilidade. - Não sendo esta a hipótese dos autos, e nem se tratando de crimes que envolvam competência da Justiça Federal, entendo que deve ser declinada a competência desta Corte para o Tribunal de Justiça do Estado do Espírito Santo. - É como voto. Ac. de 01-06-2000 DJ de 25-07-2000 (Reg. nº 2000.02.01.027459-1) VENCIDO O DESEMBARGADOR FEDERAL RICARDO REGUEIRA (VOTO-VOGAL) LEX - JSTJ e TRF - Vol. 135 - Pág. 458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ações penais instauradas contra Deputado Estadual são processadas perante o Tribunal de Justiça do Estado a que pertença.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2026-07-28T00:28:14.021Z</dcterms:created>
  <dcterms:modified xsi:type="dcterms:W3CDTF">2026-07-28T00:28:14.021Z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