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ACIDENTE DO TRABALHO</w:t>
      </w:r>
    </w:p>
    <w:p>
      <w:r>
        <w:rPr>
          <w:i/>
          <w:iCs/>
          <w:color w:val="666666"/>
        </w:rPr>
        <w:t xml:space="preserve">RESPONSABILIDADE SOLIDÁRIA</w:t>
      </w:r>
    </w:p>
    <w:p/>
    <w:p>
      <w:r>
        <w:rPr>
          <w:b/>
          <w:bCs/>
        </w:rPr>
        <w:t xml:space="preserve">Recurso: </w:t>
      </w:r>
      <w:r>
        <w:t xml:space="preserve">REsp 11.409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PRAZO — FLUÊNCIA - QUANDO SE INICIA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jurisprudência desta Corte tem-se firmado no sentido de que o marco inicial para prescrição, em matéria de acidente ou moléstia relacionados com o trabalho, nasce com a data da ciência do laudo médico lavrado em perícia judicial. - Vejam-se os acórdãos proferidos no REsp 11.409, STJ, Relator Ministro GARCIA VIEIRA; REsp 6.955, STJ, Relator Ministro PEDRO ACIOLI; REsp 17.848, STJ, Ministro JOSÉ DE JESUS. Para ilustração, transcrevo Ementa do Acórdão nº 25.873-3 - SP, em que foi Relator o eminente Ministro VICENTE CERNICCHIARO, desta mesma Turma: "EMENTA - RESP - ACIDENTE DO TRABALHO - PRESCRIÇÃO. - A prescrição da ação, relativamente ao acidente do trabalho, conta-se a partir da apresentação do laudo pericial em juízo, que verifica a moléstia ou constata sua extensão". - Por esses fundamentos, não conheço do recurso. Ac. de 29-10-1992 DJ 30-11-92 Arquivo do EMFOR - STJ/820 N. da Red.: "A prescrição da ação de acidente do trabalho conta-se do exame pericial que comprovar a enfermidade ou verificar a natureza da incapacidade". (SÚMULA STF 230 (*) - "EMFOR", Nº 194).' EMFOR 530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prescrição da ação em acidente de trabalho nasce com a data da ciência do laudo lavrado em perícia judicial.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DJ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2026-09-11T00:09:29.000Z</dcterms:created>
  <dcterms:modified xsi:type="dcterms:W3CDTF">2026-09-11T00:09:29.000Z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