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Julgado em: </w:t>
      </w:r>
      <w:r>
        <w:t xml:space="preserve">12/12/1982</w:t>
      </w:r>
    </w:p>
    <w:p/>
    <w:p>
      <w:r>
        <w:t xml:space="preserve">CASO DE USUÁRIO — CASSAÇÃO DA MEDIDA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Trata-se de viciado, ou de usuário. De qualquer forma, necessita de tratamento e, não de segregação carcerária. A finalidade da justiça deve ser a recuperação do indivíduo. No caso dos autos, a imposição da medida de segurança, nos termos em que foi aplicada, é bem mais grave, bem mais severa do que a própria punição pelo delito cometido. A pena foi fixada em 8 meses de detenção, e a medida de segurança consiste em internação, por dois anos, no mínimo, em colônia agrícola. A disparidade é flagrante. Necessita o réu, repita-se, de tratamento adequado. E, por isso, o recurso é parcialmente provido, a fim de ser cassada a medida de segurança aplicada, recomendando-se o adequado tratamento ambulatorial. Julgado em 13-12-1982 Arquivo do Ementário Forense, TJ/1.122 EMFOR 417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usuários de entorpecente, a finalidade da justiça deve ser a de sua recuperação e, por isso, não se compreende a aplicação da medida de segurança consistente em internação em colônia agrícola e por tempo bem superior ao da própria condenação.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2026-07-28T02:44:07.530Z</dcterms:created>
  <dcterms:modified xsi:type="dcterms:W3CDTF">2026-07-28T02:44:07.530Z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