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12/12/1982</w:t>
      </w:r>
    </w:p>
    <w:p/>
    <w:p>
      <w:r>
        <w:t xml:space="preserve">CASO DE USUÁRIO — CASSAÇÃO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viciado, ou de usuário. De qualquer forma, necessita de tratamento e, não de segregação carcerária. A finalidade da justiça deve ser a recuperação do indivíduo. No caso dos autos, a imposição da medida de segurança, nos termos em que foi aplicada, é bem mais grave, bem mais severa do que a própria punição pelo delito cometido. A pena foi fixada em 8 meses de detenção, e a medida de segurança consiste em internação, por dois anos, no mínimo, em colônia agrícola. A disparidade é flagrante. Necessita o réu, repita-se, de tratamento adequado. E, por isso, o recurso é parcialmente provido, a fim de ser cassada a medida de segurança aplicada, recomendando-se o adequado tratamento ambulatorial. Julgado em 13-12-1982 Arquivo do Ementário Forense, TJ/1.122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usuários de entorpecente, a finalidade da justiça deve ser a de sua recuperação e, por isso, não se compreende a aplicação da medida de segurança consistente em internação em colônia agrícola e por tempo bem superior ao da própria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2026-10-26T04:18:42.397Z</dcterms:created>
  <dcterms:modified xsi:type="dcterms:W3CDTF">2026-10-26T04:18:42.397Z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