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15/03/1981</w:t>
      </w:r>
    </w:p>
    <w:p/>
    <w:p>
      <w:r>
        <w:t xml:space="preserve">PRAZO — AUMENTO - FALTA DE PREVISÃO PELA NOVA LEI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DO JUIZ CID VIEIRA (presidente) - ... Efetivamente, a reincidência do apelante, proclamada pela r. sentença, não produz, "in casu", os efeitos que lhe pretende emprestar o ilustre Juiz revisor, ou seja, o aumento de 1/3 no prazo prescricional. E isso porque trata-se de prescrição retroativa, prevista nos §§ 1º e 2º do art. 110, do Código Penal, e não a prescrição da condenação, prevista no "caput" do mencionado dispositivo. - Dispõe o art. 110: "A prescrição, depois de transitar em julgar a sentença condenatória, regula-se pela pena imposta e verifica-se nos prazos fixados no artigo anterior, os quais se aumentam de 1/3, se o condenado é reincidente". - O § 1º do referido artigo, com a redação que lhe deu a lei nº 6.416/77, preceitua "A prescrição depois da sentença condenatória com trânsito em julgado para acusação, regula-se, também, pela pena aplicada e verifica-se nos mesmos prazos". E o § 2º completa: "A prescrição de que trata o parágrafo anterior importa, tão-somente, renúncia do Estado à pretensão executória da pena principal, não podendo, em qualquer hipótese, Ter por termo inicial data anterior ao recebimento da denúncia". - Verifica-se, assim, que, pelo novo sistema da Lei nº 6.416/77, criou-se uma outra forma de prescrição da pretensão executória, totalmente diferente da clássica prevista no Código Penal. - Na forma antiga, o prazo prescricional passa a fluir do trânsito em julgado da sentença condenatória para a ac usação. Na fórmula nova - retroativa - tal prazo é contado a partir do recebimento da denúncia. E, entre outras diferenças, precisamente de se destacar o aumento do prazo precisamente previsto no "caput" do art. 110 e que não foi repetido no § 1º. Daí, a meu ver, com a devida "vênia", não ter a reincidência. Julgado em 16-03-1981 Revista dos Tribunais. Setembro, 1981 - Vol. 551 - Pág. 360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110, e § § 1º e 2º do Código Penal, com a redação da Lei nº 6.416/77. - Pelo novo sistema da Lei nº 6.416/77, criou-se outra forma de prescrição da pretensão executória, totalmente diferente da clássica prevista no Código Penal. Assim é que o aumento do prazo prescricional por força da reincidência, expressamente prevista no "caput" do art. 110, não foi previsto no seu § 1º, introduzido pela mencionada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2026-10-26T04:19:34.800Z</dcterms:created>
  <dcterms:modified xsi:type="dcterms:W3CDTF">2026-10-26T04:19:34.800Z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